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РЕПУБЛИКА СРБИЈА</w:t>
      </w:r>
    </w:p>
    <w:p/>
    <w:p>
      <w:pPr>
        <w:jc w:val="center"/>
      </w:pPr>
      <w:r>
        <w:rPr>
          <w:b/>
          <w:sz w:val="36"/>
        </w:rPr>
        <w:t>АКТ О ПРОЦЕНИ РИЗИКА</w:t>
      </w:r>
    </w:p>
    <w:p/>
    <w:p>
      <w:pPr>
        <w:jc w:val="center"/>
      </w:pPr>
      <w:r>
        <w:rPr>
          <w:b/>
          <w:sz w:val="28"/>
        </w:rPr>
        <w:t>{{company.name}}</w:t>
        <w:br/>
      </w:r>
      <w:r>
        <w:t>{{company.address}}, {{company.city}}</w:t>
        <w:br/>
      </w:r>
      <w:r>
        <w:t>ПИБ: {{company.pib}}</w:t>
      </w:r>
    </w:p>
    <w:p/>
    <w:p/>
    <w:p>
      <w:pPr>
        <w:jc w:val="center"/>
      </w:pPr>
      <w:r>
        <w:t>Датум израде: {{metadata.generatedDate}}</w:t>
        <w:br/>
      </w:r>
      <w:r>
        <w:t>Важи до: {{metadata.validUntil}}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1. УВОД</w:t>
      </w:r>
    </w:p>
    <w:p>
      <w:r>
        <w:t>Овај Акт о процени ризика израђен је у складу са:</w:t>
      </w:r>
    </w:p>
    <w:p>
      <w:pPr>
        <w:pStyle w:val="ListBullet"/>
      </w:pPr>
      <w:r>
        <w:t>• Законом о безбедности и здрављу на раду („Сл. гласник РС", бр. 101/2005, 91/2015 и 113/2017)</w:t>
      </w:r>
    </w:p>
    <w:p>
      <w:pPr>
        <w:pStyle w:val="ListBullet"/>
      </w:pPr>
      <w:r>
        <w:t>• Правилником о начину и поступку процене ризика на радном месту и у радној околини („Сл. гласник РС", бр. 5/2018)</w:t>
      </w:r>
    </w:p>
    <w:p/>
    <w:p>
      <w:r>
        <w:t>Процена ризика обављена је за предузеће {{company.name}} коришћењем Е×П×Ф методологије (Изложеност × Вероватноћа × Учесталост). Циљ процене ризика је идентификација опасности и штетности на радним местима, процена нивоа ризика и утврђивање мера за њихово отклањање или смањење.</w:t>
      </w:r>
    </w:p>
    <w:p/>
    <w:p>
      <w:r>
        <w:t>Формула за израчунавање нивоа ризика:</w:t>
      </w:r>
    </w:p>
    <w:p>
      <w:pPr>
        <w:jc w:val="center"/>
      </w:pPr>
      <w:r>
        <w:rPr>
          <w:b/>
          <w:sz w:val="28"/>
        </w:rPr>
        <w:t>Р = Е × П × Ф</w:t>
      </w:r>
    </w:p>
    <w:p/>
    <w:p>
      <w:r>
        <w:t>Категорије ризика:</w:t>
        <w:br/>
        <w:t>• Низак ниво ризика (Р ≤ 36)</w:t>
        <w:br/>
        <w:t>• Средњи ниво ризика (36 &lt; Р ≤ 70)</w:t>
        <w:br/>
        <w:t>• Висок ниво ризика (Р &gt; 70)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2. ПОДАЦИ О ПОСЛОДАВЦУ</w:t>
      </w:r>
    </w:p>
    <w:p>
      <w:r>
        <w:t>Пун назив: {{company.name}}</w:t>
      </w:r>
    </w:p>
    <w:p>
      <w:r>
        <w:t>ПИБ: {{company.pib}}</w:t>
      </w:r>
    </w:p>
    <w:p>
      <w:r>
        <w:t>Матични број: {{company.maticniBroj}}</w:t>
      </w:r>
    </w:p>
    <w:p>
      <w:r>
        <w:t>Адреса седишта: {{company.address}}, {{company.city}}</w:t>
      </w:r>
    </w:p>
    <w:p>
      <w:r>
        <w:t>Шифра делатности: {{company.activityCode}}</w:t>
      </w:r>
    </w:p>
    <w:p>
      <w:r>
        <w:t>Опис делатности: {{company.activityDescription}}</w:t>
      </w:r>
    </w:p>
    <w:p>
      <w:r>
        <w:t>Директор: {{company.director}}</w:t>
      </w:r>
    </w:p>
    <w:p>
      <w:r>
        <w:t>Лице одговорно за БЗР: {{company.bzrResponsiblePerson}}</w:t>
      </w:r>
    </w:p>
    <w:p>
      <w:r>
        <w:t>Укупан број запослених: {{company.employeeCount}}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3. ОРГАНИЗАЦИОНА СТРУКТУРА</w:t>
      </w:r>
    </w:p>
    <w:p>
      <w:r>
        <w:t>Предузеће {{company.name}} запошљава укупно {{summary.totalPositions}} радника на {{summary.totalPositions}} радних места.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4. СИСТЕМАТИЗАЦИЈА РАДНИХ МЕСТА</w:t>
      </w:r>
    </w:p>
    <w:p>
      <w:r>
        <w:t>{{#positions}}</w:t>
      </w:r>
    </w:p>
    <w:p/>
    <w:p>
      <w:r>
        <w:rPr>
          <w:b/>
          <w:sz w:val="24"/>
        </w:rPr>
        <w:t>4.{{@index}}. {{positionName}}</w:t>
      </w:r>
    </w:p>
    <w:p>
      <w:r>
        <w:t xml:space="preserve">   • Организациона јединица: {{department}}</w:t>
      </w:r>
    </w:p>
    <w:p>
      <w:r>
        <w:t xml:space="preserve">   • Број извршилаца: {{totalCount}} (М: {{maleCount}}, Ж: {{femaleCount}})</w:t>
      </w:r>
    </w:p>
    <w:p>
      <w:r>
        <w:t xml:space="preserve">   • Захтевана школска спрема: {{requiredEducation}}</w:t>
      </w:r>
    </w:p>
    <w:p>
      <w:r>
        <w:t xml:space="preserve">   • Потребно искуство: {{requiredExperience}}</w:t>
      </w:r>
    </w:p>
    <w:p>
      <w:r>
        <w:t xml:space="preserve">   • Опис послова: {{workDescription}}</w:t>
      </w:r>
    </w:p>
    <w:p>
      <w:r>
        <w:t>{{/positions}}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5. ПРОЦЕНА РИЗИКА ПО РАДНИМ МЕСТИМА</w:t>
      </w:r>
    </w:p>
    <w:p>
      <w:r>
        <w:t>{{#positions}}</w:t>
      </w:r>
    </w:p>
    <w:p/>
    <w:p>
      <w:r>
        <w:rPr>
          <w:b/>
          <w:sz w:val="24"/>
        </w:rPr>
        <w:t>5.{{@index}}. Радно место: {{positionName}}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Опасност/Штетност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Еи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Пи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Фи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Ри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Мере превенције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Е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П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Ф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Р</w:t>
            </w:r>
          </w:p>
        </w:tc>
        <w:tc>
          <w:tcPr>
            <w:tcW w:type="dxa" w:w="785"/>
            <w:shd w:fill="D9D9D9"/>
          </w:tcPr>
          <w:p>
            <w:pPr>
              <w:jc w:val="center"/>
            </w:pPr>
            <w:r>
              <w:rPr>
                <w:b/>
                <w:sz w:val="18"/>
              </w:rPr>
              <w:t>Ниво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{{hazardName}}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{{ei}}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{{pi}}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{{fi}}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{{ri}}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{{correctiveMeasures}}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{{e}}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{{p}}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{{f}}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{{r}}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{{riskLevel}}</w:t>
            </w:r>
          </w:p>
        </w:tc>
      </w:tr>
    </w:tbl>
    <w:p>
      <w:r>
        <w:t>{{#risks}}</w:t>
      </w:r>
    </w:p>
    <w:p>
      <w:r>
        <w:t>{{/risks}}</w:t>
      </w:r>
    </w:p>
    <w:p/>
    <w:p>
      <w:r>
        <w:rPr>
          <w:b/>
        </w:rPr>
        <w:t xml:space="preserve">Напомена: </w:t>
      </w:r>
      <w:r>
        <w:t>Ниво ризика - Низак (Р ≤ 36), Средњи (36 &lt; Р ≤ 70), Висок (Р &gt; 70)</w:t>
      </w:r>
    </w:p>
    <w:p>
      <w:r>
        <w:t>{{/positions}}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6. ЗБОРНИ ПРИКАЗ ПРОЦЕНЕ</w:t>
      </w:r>
    </w:p>
    <w:p>
      <w:r>
        <w:t>Укупно радних места: {{summary.totalPositions}}</w:t>
      </w:r>
    </w:p>
    <w:p>
      <w:r>
        <w:t>Укупно процењених опасности: {{summary.totalRisks}}</w:t>
      </w:r>
    </w:p>
    <w:p/>
    <w:p>
      <w:r>
        <w:rPr>
          <w:b/>
        </w:rPr>
        <w:t>Расподела ризика:</w:t>
      </w:r>
    </w:p>
    <w:p>
      <w:r>
        <w:t>• Низак ниво (Р ≤ 36): {{summary.lowRiskCount}}</w:t>
      </w:r>
    </w:p>
    <w:p>
      <w:r>
        <w:t>• Средњи ниво (36 &lt; Р ≤ 70): {{summary.mediumRiskCount}}</w:t>
      </w:r>
    </w:p>
    <w:p>
      <w:r>
        <w:t>• Висок ниво (Р &gt; 70): {{summary.highRiskCount}}</w:t>
      </w:r>
    </w:p>
    <w:p/>
    <w:p>
      <w:r>
        <w:t>{{#summary.highRiskPositions}}</w:t>
      </w:r>
    </w:p>
    <w:p>
      <w:r>
        <w:rPr>
          <w:b/>
          <w:color w:val="FF0000"/>
        </w:rPr>
        <w:t>⚠️ Радна места са високим ризиком: {{summary.highRiskPositions}}</w:t>
      </w:r>
    </w:p>
    <w:p>
      <w:r>
        <w:t>{{/summary.highRiskPositions}}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7. ПРИЛОЗИ</w:t>
      </w:r>
    </w:p>
    <w:p>
      <w:r>
        <w:t>Прилози који прате овај Акт о процени ризика:</w:t>
        <w:br/>
        <w:t>• Списак потребних средстава и опреме за личну заштиту</w:t>
        <w:br/>
        <w:t>• План обуке запослених за безбедан рад</w:t>
        <w:br/>
        <w:t>• Списак лекарских прегледа</w:t>
      </w:r>
    </w:p>
    <w:p>
      <w:r>
        <w:br w:type="page"/>
      </w:r>
    </w:p>
    <w:p>
      <w:pPr>
        <w:pStyle w:val="Heading1"/>
      </w:pPr>
      <w:r>
        <w:rPr>
          <w:rFonts w:ascii="Noto Sans" w:hAnsi="Noto Sans"/>
        </w:rPr>
        <w:t>8. ВЕРИФИКАЦИЈА И ПОТПИСИ</w:t>
      </w:r>
    </w:p>
    <w:p>
      <w:r>
        <w:t>Овај Акт о процени ризика верификован је и ступа на снагу даном {{metadata.generatedDate}}.</w:t>
      </w:r>
    </w:p>
    <w:p>
      <w:r>
        <w:t>Важи {{metadata.validityPeriod}} од дана доношења (у складу са чланом 32 Правилника).</w:t>
      </w:r>
    </w:p>
    <w:p/>
    <w:p/>
    <w:p/>
    <w:p>
      <w:pPr>
        <w:jc w:val="left"/>
      </w:pPr>
      <w:r>
        <w:t>______________________________</w:t>
      </w:r>
    </w:p>
    <w:p>
      <w:pPr>
        <w:jc w:val="left"/>
      </w:pPr>
      <w:r>
        <w:rPr>
          <w:b/>
        </w:rPr>
        <w:t>{{company.director}}</w:t>
      </w:r>
    </w:p>
    <w:p>
      <w:pPr>
        <w:jc w:val="left"/>
      </w:pPr>
      <w:r>
        <w:t>Директор</w:t>
      </w:r>
    </w:p>
    <w:p/>
    <w:p/>
    <w:p>
      <w:pPr>
        <w:jc w:val="left"/>
      </w:pPr>
      <w:r>
        <w:t>______________________________</w:t>
      </w:r>
    </w:p>
    <w:p>
      <w:pPr>
        <w:jc w:val="left"/>
      </w:pPr>
      <w:r>
        <w:rPr>
          <w:b/>
        </w:rPr>
        <w:t>{{company.bzrResponsiblePerson}}</w:t>
      </w:r>
    </w:p>
    <w:p>
      <w:pPr>
        <w:jc w:val="left"/>
      </w:pPr>
      <w:r>
        <w:t>Лице одговорно за безбедност и здравље на раду</w:t>
      </w:r>
    </w:p>
    <w:p/>
    <w:p/>
    <w:p>
      <w:pPr>
        <w:jc w:val="center"/>
      </w:pPr>
      <w:r>
        <w:rPr>
          <w:color w:val="808080"/>
          <w:sz w:val="16"/>
        </w:rPr>
        <w:t>Документ генерисан аутоматски системом BZR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" w:hAnsi="Noto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