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HAL — Harness Activation Layer</w:t>
      </w:r>
    </w:p>
    <w:p>
      <w:pPr>
        <w:pStyle w:val="Heading1"/>
      </w:pPr>
      <w:r>
        <w:t>Experience-Refined Product Requirements Document · v2.0 · HAL-P2D-001</w:t>
      </w:r>
    </w:p>
    <w:p>
      <w:r>
        <w:rPr>
          <w:b/>
        </w:rPr>
        <w:t>Date:</w:t>
      </w:r>
      <w:r>
        <w:t xml:space="preserve"> 2026-10-14  | </w:t>
      </w:r>
      <w:r>
        <w:rPr>
          <w:b/>
        </w:rPr>
        <w:t>Phase:</w:t>
      </w:r>
      <w:r>
        <w:t xml:space="preserve"> IDEA_RECONSTRUCTION → READY_FOR_HUMAN_UAT | </w:t>
      </w:r>
      <w:r>
        <w:rPr>
          <w:b/>
        </w:rPr>
        <w:t>Decision:</w:t>
      </w:r>
      <w:r>
        <w:t xml:space="preserve"> HUMAN_GATE=PENDING</w:t>
      </w:r>
    </w:p>
    <w:p>
      <w:r>
        <w:rPr>
          <w:b/>
        </w:rPr>
        <w:t>Prepared using:</w:t>
      </w:r>
      <w:r>
        <w:t xml:space="preserve"> </w:t>
      </w:r>
      <w:r>
        <w:rPr>
          <w:rFonts w:ascii="Consolas" w:hAnsi="Consolas"/>
          <w:color w:val="4A4C84"/>
          <w:sz w:val="16"/>
        </w:rPr>
        <w:t>Need → PRD Reference-to-Template Compiler v2.0</w:t>
      </w:r>
      <w:r>
        <w:t xml:space="preserve"> (nine-step conversion + 30 generative operators + 32-section master), with v1 HAL PRD/MVM as baseline, not as prescriptive truth.</w:t>
      </w:r>
    </w:p>
    <w:p>
      <w:r>
        <w:rPr>
          <w:b/>
        </w:rPr>
        <w:t>Source states:</w:t>
      </w:r>
      <w:r>
        <w:t xml:space="preserve"> </w:t>
      </w:r>
      <w:r>
        <w:rPr>
          <w:rFonts w:ascii="Consolas" w:hAnsi="Consolas"/>
          <w:color w:val="4A4C84"/>
          <w:sz w:val="16"/>
        </w:rPr>
        <w:t>[USER_STATED]</w:t>
      </w:r>
      <w:r>
        <w:t xml:space="preserve"> user explicitly articulated; </w:t>
      </w:r>
      <w:r>
        <w:rPr>
          <w:rFonts w:ascii="Consolas" w:hAnsi="Consolas"/>
          <w:color w:val="4A4C84"/>
          <w:sz w:val="16"/>
        </w:rPr>
        <w:t>[BASELINE]</w:t>
      </w:r>
      <w:r>
        <w:t xml:space="preserve"> observed in existing files; </w:t>
      </w:r>
      <w:r>
        <w:rPr>
          <w:rFonts w:ascii="Consolas" w:hAnsi="Consolas"/>
          <w:color w:val="4A4C84"/>
          <w:sz w:val="16"/>
        </w:rPr>
        <w:t>[PROPOSAL]</w:t>
      </w:r>
      <w:r>
        <w:t xml:space="preserve"> design recommendation; </w:t>
      </w:r>
      <w:r>
        <w:rPr>
          <w:rFonts w:ascii="Consolas" w:hAnsi="Consolas"/>
          <w:color w:val="4A4C84"/>
          <w:sz w:val="16"/>
        </w:rPr>
        <w:t>[ASSUMPTION]</w:t>
      </w:r>
      <w:r>
        <w:t xml:space="preserve"> unsourced scenario; </w:t>
      </w:r>
      <w:r>
        <w:rPr>
          <w:rFonts w:ascii="Consolas" w:hAnsi="Consolas"/>
          <w:color w:val="4A4C84"/>
          <w:sz w:val="16"/>
        </w:rPr>
        <w:t>[ESTIMATE]</w:t>
      </w:r>
      <w:r>
        <w:t xml:space="preserve"> calculation pending input; </w:t>
      </w:r>
      <w:r>
        <w:rPr>
          <w:rFonts w:ascii="Consolas" w:hAnsi="Consolas"/>
          <w:color w:val="4A4C84"/>
          <w:sz w:val="16"/>
        </w:rPr>
        <w:t>[VERIFIED_TEST]</w:t>
      </w:r>
      <w:r>
        <w:t xml:space="preserve"> new pilot test evidence recorded in receipt; </w:t>
      </w:r>
      <w:r>
        <w:rPr>
          <w:rFonts w:ascii="Consolas" w:hAnsi="Consolas"/>
          <w:color w:val="4A4C84"/>
          <w:sz w:val="16"/>
        </w:rPr>
        <w:t>[OPEN]</w:t>
      </w:r>
      <w:r>
        <w:t xml:space="preserve"> no adequate evidence.</w:t>
      </w:r>
    </w:p>
    <w:p>
      <w:r>
        <w:rPr>
          <w:b/>
        </w:rPr>
        <w:t>Sensitive material:</w:t>
      </w:r>
      <w:r>
        <w:t xml:space="preserve"> no API credentials or historical private firm data reproduced. </w:t>
      </w:r>
      <w:r>
        <w:rPr>
          <w:b/>
        </w:rPr>
        <w:t>Caveat:</w:t>
      </w:r>
      <w:r>
        <w:t xml:space="preserve"> consumer demand, production model compatibility, and return on investment not externally established.</w:t>
      </w:r>
    </w:p>
    <w:p>
      <w:pPr>
        <w:pStyle w:val="Heading1"/>
      </w:pPr>
      <w:r>
        <w:t>00. Document control, audience &amp; decision</w:t>
      </w:r>
    </w:p>
    <w:p>
      <w:r>
        <w:rPr>
          <w:b/>
        </w:rPr>
        <w:t>Decision being requested:</w:t>
      </w:r>
      <w:r>
        <w:t xml:space="preserve"> approve whether to engineer a local-first HAL Shell and its v0 domain package contract *after* evaluating this PRD and the direct-fidelity MVM; public release is a separate decision. The readers are Product Owner, Codex engineer, technical/security reviewer, and prospective domain harness maintainer. Source priority: current HAL user Need &gt; safely reusable methods abstracted from historical PRDs &gt; baseline HAL v1 assumptions &gt; new technical proposals. A discrepancy is not automatically resolved by taking the latest-looking artifact. Owner and actual budget require confirmation (</w:t>
      </w:r>
      <w:r>
        <w:rPr>
          <w:rFonts w:ascii="Consolas" w:hAnsi="Consolas"/>
          <w:color w:val="4A4C84"/>
          <w:sz w:val="16"/>
        </w:rPr>
        <w:t>D-01</w:t>
      </w:r>
      <w:r>
        <w:t xml:space="preserve">, </w:t>
      </w:r>
      <w:r>
        <w:rPr>
          <w:rFonts w:ascii="Consolas" w:hAnsi="Consolas"/>
          <w:color w:val="4A4C84"/>
          <w:sz w:val="16"/>
        </w:rPr>
        <w:t>D-06</w:t>
      </w:r>
      <w:r>
        <w:t>).</w:t>
      </w:r>
    </w:p>
    <w:p>
      <w:r>
        <w:rPr>
          <w:b/>
        </w:rPr>
        <w:t>Revision:</w:t>
      </w:r>
      <w:r>
        <w:t xml:space="preserve"> v1: shared onboarding, one research domain, simulated AI; v2: explicit Need-to-feature trace, cross-domain package swaps, executable deterministic domain core, common Shell boundary, alternatives/economics, regression evidence and self-recursive skill feedback. Owner approval: </w:t>
      </w:r>
      <w:r>
        <w:rPr>
          <w:b/>
        </w:rPr>
        <w:t>PENDING</w:t>
      </w:r>
      <w:r>
        <w:t>.</w:t>
      </w:r>
    </w:p>
    <w:p>
      <w:pPr>
        <w:pStyle w:val="Heading1"/>
      </w:pPr>
      <w:r>
        <w:t>01. Executive decision summary — WHY / WHAT / HOW / VALUE / ACCEPTANCE</w:t>
      </w:r>
    </w:p>
    <w:p>
      <w:r>
        <w:rPr>
          <w:b/>
        </w:rPr>
        <w:t>WHY [USER_STATED]:</w:t>
      </w:r>
      <w:r>
        <w:t xml:space="preserve"> specialized GitHub harnesses provide deep methods but presume developer literacy; polished user-facing frontends may rely on provider-specific, nonportable AI integration. The costly translation between expertise, UI and model runtime is repeated across products.</w:t>
      </w:r>
    </w:p>
    <w:p>
      <w:r>
        <w:rPr>
          <w:b/>
        </w:rPr>
        <w:t>WHAT [PROPOSAL]:</w:t>
      </w:r>
      <w:r>
        <w:t xml:space="preserve"> a *universal local-first HAL Shell* that loads a curated/versioned </w:t>
      </w:r>
      <w:r>
        <w:rPr>
          <w:b/>
        </w:rPr>
        <w:t>Domain Harness Package (DHP)</w:t>
      </w:r>
      <w:r>
        <w:t xml:space="preserve"> and presents two deliberate paths: </w:t>
      </w:r>
      <w:r>
        <w:rPr>
          <w:b/>
        </w:rPr>
        <w:t>A Developer</w:t>
      </w:r>
      <w:r>
        <w:t xml:space="preserve"> documentation + genuine export without granting HAL a key; </w:t>
      </w:r>
      <w:r>
        <w:rPr>
          <w:b/>
        </w:rPr>
        <w:t>B Intelligent</w:t>
      </w:r>
      <w:r>
        <w:t xml:space="preserve"> model education + native secure credential flow + capability-aware domain-specific workspace and observable execution.</w:t>
      </w:r>
    </w:p>
    <w:p>
      <w:r>
        <w:rPr>
          <w:b/>
        </w:rPr>
        <w:t>HOW:</w:t>
      </w:r>
      <w:r>
        <w:t xml:space="preserve"> declarative </w:t>
      </w:r>
      <w:r>
        <w:rPr>
          <w:rFonts w:ascii="Consolas" w:hAnsi="Consolas"/>
          <w:color w:val="4A4C84"/>
          <w:sz w:val="16"/>
        </w:rPr>
        <w:t>harness.yaml</w:t>
      </w:r>
      <w:r>
        <w:t xml:space="preserve">/JSON schema, package inspector, </w:t>
      </w:r>
      <w:r>
        <w:rPr>
          <w:rFonts w:ascii="Consolas" w:hAnsi="Consolas"/>
          <w:color w:val="4A4C84"/>
          <w:sz w:val="16"/>
        </w:rPr>
        <w:t>feature_bindings</w:t>
      </w:r>
      <w:r>
        <w:t>, model and tool/data adapters, permission/approval engine, task state/checkpoints and artifact ledger. A feature can be unlocked only when every required port and grant passes.</w:t>
      </w:r>
    </w:p>
    <w:p>
      <w:r>
        <w:rPr>
          <w:b/>
        </w:rPr>
        <w:t>VALUE [HYPOTHESIS]:</w:t>
      </w:r>
      <w:r>
        <w:t xml:space="preserve"> reduce time-to-first-specialist-result and repeated engineering of onboarding, compatibility, trust and distribution.</w:t>
      </w:r>
    </w:p>
    <w:p>
      <w:r>
        <w:rPr>
          <w:b/>
        </w:rPr>
        <w:t>COST [OPEN]:</w:t>
      </w:r>
      <w:r>
        <w:t xml:space="preserve"> engineering person-days, native packaging, external models/tools, maintenance, security verification; formula in §21, not historical quotes.</w:t>
      </w:r>
    </w:p>
    <w:p>
      <w:r>
        <w:rPr>
          <w:b/>
        </w:rPr>
        <w:t>ACCEPTANCE:</w:t>
      </w:r>
      <w:r>
        <w:t xml:space="preserve"> demonstrate two distinct demo domain profiles through the </w:t>
      </w:r>
      <w:r>
        <w:rPr>
          <w:b/>
        </w:rPr>
        <w:t>same shell</w:t>
      </w:r>
      <w:r>
        <w:t xml:space="preserve"> with real deterministic work, real Path A exports, a truthful simulated B preflight, denied incompatible cases and downloadable UAT; validate actual model-powered task only after DOING.</w:t>
      </w:r>
    </w:p>
    <w:p>
      <w:pPr>
        <w:pStyle w:val="Heading1"/>
      </w:pPr>
      <w:r>
        <w:t>02. Problem evidence and Need trace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Need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Actor/situation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Current substitute &amp; friction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Desired measurable change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Evidence strength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N01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Developer downloads GitHub harness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README/CLI/IDE skills must be interpreted manually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Complete documentation/export correctly used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User description, no population sample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N02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Consumer wants specialized result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Generic chat UI or difficult repo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Unassisted route to task, consent, result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User description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N03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Maintainer adapts next harness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Rebuilds auth/onboarding/runtime by hand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Faster *second* package integration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Product hypothesis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N04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Security owner reviews model+tool access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Unsafe key input, untyped data privileges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No leaked key or unauthorized effect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Engineering threat hypothesis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N05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Product Owner approves work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Beautiful mockup with nonfunctional engine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Transparent working/simulated boundary + UAT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Existing MVM observation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N06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PRD compiler is reused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Generic template may omit project-specific decisions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32 specific sections + exact trace/negative tests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User request + skill contract</w:t>
            </w:r>
          </w:p>
        </w:tc>
      </w:tr>
    </w:tbl>
    <w:p>
      <w:pPr>
        <w:spacing w:after="40"/>
      </w:pPr>
    </w:p>
    <w:p>
      <w:r>
        <w:rPr>
          <w:b/>
        </w:rPr>
        <w:t>Unverified:</w:t>
      </w:r>
      <w:r>
        <w:t xml:space="preserve"> prevalence, willingness to pay, alternative preference, actual integration duration and error frequency. Acquisition plan: 3 developer interviews, 3 consumer walkthroughs, 2 source repo audits, baseline comparison using A0 GitHub/IDE (proposed sample sizes, not completed).</w:t>
      </w:r>
    </w:p>
    <w:p>
      <w:pPr>
        <w:pStyle w:val="Heading1"/>
      </w:pPr>
      <w:r>
        <w:t>03. Business strategy and product definition</w:t>
      </w:r>
    </w:p>
    <w:p>
      <w:r>
        <w:rPr>
          <w:b/>
        </w:rPr>
        <w:t>Position:</w:t>
      </w:r>
      <w:r>
        <w:t xml:space="preserve"> domain-independent bridge from a maintainable specialist harness to a predictable, controlled, user-ready local experience. Do </w:t>
      </w:r>
      <w:r>
        <w:rPr>
          <w:b/>
        </w:rPr>
        <w:t>not</w:t>
      </w:r>
      <w:r>
        <w:t xml:space="preserve"> sell “any API key activates any GitHub app” as a feature. The differentiator is the domain-action binding contract and coherent dual-path experience.</w:t>
      </w:r>
    </w:p>
    <w:p>
      <w:r>
        <w:rPr>
          <w:b/>
        </w:rPr>
        <w:t>Strategic assets:</w:t>
      </w:r>
      <w:r>
        <w:t xml:space="preserve"> package specification, curated adapter registry, permissioned runtime, reusable onboarding, measurable integration test suite and trustworthy execution receipts.</w:t>
      </w:r>
    </w:p>
    <w:p>
      <w:r>
        <w:rPr>
          <w:b/>
        </w:rPr>
        <w:t>Alternatives:</w:t>
      </w:r>
      <w:r>
        <w:t xml:space="preserve"> A0 Github README-only; A1 bespoke domain app; A2 hosted universal launcher; A3 generic chat overlay. §24 compares trade-offs and falsifiers.</w:t>
      </w:r>
    </w:p>
    <w:p>
      <w:pPr>
        <w:pStyle w:val="Heading1"/>
      </w:pPr>
      <w:r>
        <w:t>04. Goals, metrics and falsifiers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Metric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Unit/cohort/period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Baseline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Proposed pilot decision threshold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Proof method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Path A export completion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% new unassisted testers in 7-minute session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≥4 of 5 (EXPERIMENT TARGET)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recorded user attempt, intact ZIP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Path B comprehension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% correctly distinguishing model vs tool permissions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≥4 of 5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two-question teach-back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Valid first deterministic result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% of MVM first-time testers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≥4 of 5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real downloadable domain result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Second-domain integration effort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engineer-hours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OPEN (bespoke baseline to measure)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≥25% lower than bespoke, provisional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timed paired engineering exercise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No unauthorized external action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count across negative automated fixtures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expected 0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exactly 0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policy integration tests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User trust clarity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1–5 Likert, cohort and date recorded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OPEN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median ≥4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UAT questionnaire</w:t>
            </w:r>
          </w:p>
        </w:tc>
      </w:tr>
    </w:tbl>
    <w:p>
      <w:pPr>
        <w:spacing w:after="40"/>
      </w:pPr>
    </w:p>
    <w:p>
      <w:r>
        <w:rPr>
          <w:b/>
        </w:rPr>
        <w:t>Falsifiers:</w:t>
      </w:r>
      <w:r>
        <w:t xml:space="preserve"> Path A ZIP cannot run as documented; consumer confuses simulation for actual inference; second domain needs HAL core rewrites; first meaningful task is no easier than repository/IDE baseline; permission bypass. These targets are </w:t>
      </w:r>
      <w:r>
        <w:rPr>
          <w:b/>
        </w:rPr>
        <w:t>pilot thresholds</w:t>
      </w:r>
      <w:r>
        <w:t>, not achieved product performance.</w:t>
      </w:r>
    </w:p>
    <w:p>
      <w:pPr>
        <w:pStyle w:val="Heading1"/>
      </w:pPr>
      <w:r>
        <w:t>05. Target users, stakeholders and responsibilities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331"/>
        <w:gridCol w:w="3331"/>
        <w:gridCol w:w="3331"/>
      </w:tblGrid>
      <w:tr>
        <w:tc>
          <w:tcPr>
            <w:tcW w:type="dxa" w:w="3331"/>
            <w:vAlign w:val="center"/>
          </w:tcPr>
          <w:p>
            <w:r>
              <w:rPr>
                <w:b/>
                <w:sz w:val="15"/>
              </w:rPr>
              <w:t>Role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sz w:val="15"/>
              </w:rPr>
              <w:t>JTBD and ownership</w:t>
            </w:r>
          </w:p>
        </w:tc>
        <w:tc>
          <w:tcPr>
            <w:tcW w:type="dxa" w:w="3331"/>
            <w:vAlign w:val="center"/>
          </w:tcPr>
          <w:p>
            <w:r>
              <w:rPr>
                <w:b/>
                <w:sz w:val="15"/>
              </w:rPr>
              <w:t>Decision permissions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5"/>
              </w:rPr>
              <w:t>Nontechnical domain user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5"/>
              </w:rPr>
              <w:t>complete specialized tasks after understandable onboarding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5"/>
              </w:rPr>
              <w:t>grant own provider and selected-file access; approve writes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5"/>
              </w:rPr>
              <w:t>Developer user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5"/>
              </w:rPr>
              <w:t>inspect, export, install and modify specialist package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5"/>
              </w:rPr>
              <w:t>download authorized source, run own IDE/model host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5"/>
              </w:rPr>
              <w:t>Domain maintainer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5"/>
              </w:rPr>
              <w:t>publish correct manifest, domain UI, tools &amp; references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5"/>
              </w:rPr>
              <w:t>propose/maintain domain package; not grant customer privileges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5"/>
              </w:rPr>
              <w:t>HAL runtime maintainer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5"/>
              </w:rPr>
              <w:t>keep shell, adapters and policies compatible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5"/>
              </w:rPr>
              <w:t>ship signed updates after review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5"/>
              </w:rPr>
              <w:t>Product Owner / Human Gate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5"/>
              </w:rPr>
              <w:t>prioritize, decide scope, evaluate UAT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5"/>
              </w:rPr>
              <w:t>DOING / MODIFY / PARKED / BLOCKED; publication separately</w:t>
            </w:r>
          </w:p>
        </w:tc>
      </w:tr>
      <w:tr>
        <w:tc>
          <w:tcPr>
            <w:tcW w:type="dxa" w:w="3331"/>
            <w:vAlign w:val="center"/>
          </w:tcPr>
          <w:p>
            <w:r>
              <w:rPr>
                <w:sz w:val="15"/>
              </w:rPr>
              <w:t>Security/QA reviewer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5"/>
              </w:rPr>
              <w:t>threat model, red-team negative tests, test receipts</w:t>
            </w:r>
          </w:p>
        </w:tc>
        <w:tc>
          <w:tcPr>
            <w:tcW w:type="dxa" w:w="3331"/>
            <w:vAlign w:val="center"/>
          </w:tcPr>
          <w:p>
            <w:r>
              <w:rPr>
                <w:sz w:val="15"/>
              </w:rPr>
              <w:t>block release on credential or privilege failure</w:t>
            </w:r>
          </w:p>
        </w:tc>
      </w:tr>
    </w:tbl>
    <w:p>
      <w:pPr>
        <w:spacing w:after="40"/>
      </w:pPr>
    </w:p>
    <w:p>
      <w:r>
        <w:rPr>
          <w:b/>
        </w:rPr>
        <w:t>Initial account system:</w:t>
      </w:r>
      <w:r>
        <w:t xml:space="preserve"> single-user local runtime, no mandatory hosted account. Enterprise team roles and per-tenant access are </w:t>
      </w:r>
      <w:r>
        <w:rPr>
          <w:b/>
        </w:rPr>
        <w:t>N/A for first MVP</w:t>
      </w:r>
      <w:r>
        <w:t xml:space="preserve"> except local OS identity and file consent; add RBAC only when a validated multi-user Need exists.</w:t>
      </w:r>
    </w:p>
    <w:p>
      <w:pPr>
        <w:pStyle w:val="Heading1"/>
      </w:pPr>
      <w:r>
        <w:t>06. As-is journeys and bottlenecks</w:t>
      </w:r>
    </w:p>
    <w:p>
      <w:r>
        <w:rPr>
          <w:b/>
        </w:rPr>
        <w:t>A0 developer:</w:t>
      </w:r>
      <w:r>
        <w:t xml:space="preserve"> search GitHub→download ZIP→interpret README→resolve dependencies→configure IDE/model host→possibly discover missing files→try task. Bottleneck: unclear packaging completeness and which model/tool credentials belong to which program.</w:t>
      </w:r>
    </w:p>
    <w:p>
      <w:r>
        <w:rPr>
          <w:b/>
        </w:rPr>
        <w:t>A0 consumer:</w:t>
      </w:r>
      <w:r>
        <w:t xml:space="preserve"> find polished app→click feature→learn backend is missing/provider-specific→try unrelated API key→fail or resort to generic chatbot. Bottleneck: no explicit capability readiness or permission story.</w:t>
      </w:r>
    </w:p>
    <w:p>
      <w:r>
        <w:rPr>
          <w:b/>
        </w:rPr>
        <w:t>Maintainer:</w:t>
      </w:r>
      <w:r>
        <w:t xml:space="preserve"> rebuild home, docs, onboarding, connectivity, billing/key guide, run states, logging for each domain. Bottleneck: duplicate code and uneven safeguards. </w:t>
      </w:r>
      <w:r>
        <w:rPr>
          <w:b/>
        </w:rPr>
        <w:t>Baseline time/defect measurements remain OPEN.</w:t>
      </w:r>
    </w:p>
    <w:p>
      <w:pPr>
        <w:pStyle w:val="Heading1"/>
      </w:pPr>
      <w:r>
        <w:t>07. Future-state service blueprint</w:t>
      </w:r>
    </w:p>
    <w:p>
      <w:r>
        <w:rPr>
          <w:b/>
        </w:rPr>
        <w:t>Shared entry:</w:t>
      </w:r>
      <w:r>
        <w:t xml:space="preserve"> Open signed local app → inspect verified domain package metadata → choose A or B; return/switch without reinstalling.</w:t>
      </w:r>
    </w:p>
    <w:p>
      <w:r>
        <w:rPr>
          <w:b/>
        </w:rPr>
        <w:t>A:</w:t>
      </w:r>
      <w:r>
        <w:t xml:space="preserve"> </w:t>
      </w:r>
      <w:r>
        <w:rPr>
          <w:rFonts w:ascii="Consolas" w:hAnsi="Consolas"/>
          <w:color w:val="4A4C84"/>
          <w:sz w:val="16"/>
        </w:rPr>
        <w:t>WELCOME → DEVELOPER_README → REQUIREMENTS → PACKAGE_TREE → DOWNLOAD_SOURCE → IDE_HANDOFF</w:t>
      </w:r>
      <w:r>
        <w:t>; invalid/incomplete archive must be blocked with defect report.</w:t>
      </w:r>
    </w:p>
    <w:p>
      <w:r>
        <w:rPr>
          <w:b/>
        </w:rPr>
        <w:t>B:</w:t>
      </w:r>
      <w:r>
        <w:t xml:space="preserve"> </w:t>
      </w:r>
      <w:r>
        <w:rPr>
          <w:rFonts w:ascii="Consolas" w:hAnsi="Consolas"/>
          <w:color w:val="4A4C84"/>
          <w:sz w:val="16"/>
        </w:rPr>
        <w:t>WELCOME → DOMAIN_PREVIEW → KEY_ACADEMY(optional) → PROVIDER_SELECT → CAPABILITY_PREFLIGHT → NATIVE_BROKER_CONSENT → DOMAIN_WORKSPACE → TASK_EXECUTION → REVIEW/EXPORT</w:t>
      </w:r>
      <w:r>
        <w:t>; user must distinguish sandbox simulation from real connection.</w:t>
      </w:r>
    </w:p>
    <w:p>
      <w:r>
        <w:rPr>
          <w:b/>
        </w:rPr>
        <w:t>Recovery:</w:t>
      </w:r>
      <w:r>
        <w:t xml:space="preserve"> </w:t>
      </w:r>
      <w:r>
        <w:rPr>
          <w:rFonts w:ascii="Consolas" w:hAnsi="Consolas"/>
          <w:color w:val="4A4C84"/>
          <w:sz w:val="16"/>
        </w:rPr>
        <w:t>UNSUPPORTED_PROVIDER</w:t>
      </w:r>
      <w:r>
        <w:t xml:space="preserve">, </w:t>
      </w:r>
      <w:r>
        <w:rPr>
          <w:rFonts w:ascii="Consolas" w:hAnsi="Consolas"/>
          <w:color w:val="4A4C84"/>
          <w:sz w:val="16"/>
        </w:rPr>
        <w:t>MISSING_DATA_GRANT</w:t>
      </w:r>
      <w:r>
        <w:t xml:space="preserve">, </w:t>
      </w:r>
      <w:r>
        <w:rPr>
          <w:rFonts w:ascii="Consolas" w:hAnsi="Consolas"/>
          <w:color w:val="4A4C84"/>
          <w:sz w:val="16"/>
        </w:rPr>
        <w:t>INVALID/EXPIRED_KEY</w:t>
      </w:r>
      <w:r>
        <w:t xml:space="preserve">, </w:t>
      </w:r>
      <w:r>
        <w:rPr>
          <w:rFonts w:ascii="Consolas" w:hAnsi="Consolas"/>
          <w:color w:val="4A4C84"/>
          <w:sz w:val="16"/>
        </w:rPr>
        <w:t>QUOTA_EXHAUSTED</w:t>
      </w:r>
      <w:r>
        <w:t xml:space="preserve">, </w:t>
      </w:r>
      <w:r>
        <w:rPr>
          <w:rFonts w:ascii="Consolas" w:hAnsi="Consolas"/>
          <w:color w:val="4A4C84"/>
          <w:sz w:val="16"/>
        </w:rPr>
        <w:t>PACKAGE_INVALID</w:t>
      </w:r>
      <w:r>
        <w:t xml:space="preserve">, </w:t>
      </w:r>
      <w:r>
        <w:rPr>
          <w:rFonts w:ascii="Consolas" w:hAnsi="Consolas"/>
          <w:color w:val="4A4C84"/>
          <w:sz w:val="16"/>
        </w:rPr>
        <w:t>RUN_FAILED</w:t>
      </w:r>
      <w:r>
        <w:t xml:space="preserve">, </w:t>
      </w:r>
      <w:r>
        <w:rPr>
          <w:rFonts w:ascii="Consolas" w:hAnsi="Consolas"/>
          <w:color w:val="4A4C84"/>
          <w:sz w:val="16"/>
        </w:rPr>
        <w:t>APP_CLOSED</w:t>
      </w:r>
      <w:r>
        <w:t xml:space="preserve"> are distinct states, each with next action. Completion is a verified artifact, not merely a chat message.</w:t>
      </w:r>
    </w:p>
    <w:p>
      <w:pPr>
        <w:pStyle w:val="Heading1"/>
      </w:pPr>
      <w:r>
        <w:t>08. Scope, release stages and exclusions</w:t>
      </w:r>
    </w:p>
    <w:p>
      <w:r>
        <w:rPr>
          <w:b/>
        </w:rPr>
        <w:t>Ready v2 in scope (this package):</w:t>
      </w:r>
      <w:r>
        <w:t xml:space="preserve"> interactive offline browser-based shell, 2 seeded domain package profiles, developer README/package export, four-stage Key Academy, simulated preflight, realistic capability registry, real deterministic tasks (research margin and returns triage), exported source/report/diagnostics/feedback, approval/trust demonstrations, quality receipts.</w:t>
      </w:r>
    </w:p>
    <w:p>
      <w:r>
        <w:rPr>
          <w:b/>
        </w:rPr>
        <w:t>Doing P0 after consent:</w:t>
      </w:r>
      <w:r>
        <w:t xml:space="preserve"> native secure credential broker, model inference adapter, typed local tools, manifest validation, durable run loop, real domain task and source-grounded artifact; instrument two real domain repos.</w:t>
      </w:r>
    </w:p>
    <w:p>
      <w:r>
        <w:rPr>
          <w:b/>
        </w:rPr>
        <w:t>Post-MVP P1:</w:t>
      </w:r>
      <w:r>
        <w:t xml:space="preserve"> robust library import, signed extension registry, more providers, MCP, scheduling, enterprise RBAC if evidenced.</w:t>
      </w:r>
    </w:p>
    <w:p>
      <w:r>
        <w:rPr>
          <w:b/>
        </w:rPr>
        <w:t>Excluded:</w:t>
      </w:r>
      <w:r>
        <w:t xml:space="preserve"> arbitrary untrusted repo auto-execution, universal provider semantics, fake “any key”, credit reselling, financial advice, 24/7 operation when device off, scraped private datasets, publication without authorization.</w:t>
      </w:r>
    </w:p>
    <w:p>
      <w:pPr>
        <w:pStyle w:val="Heading1"/>
      </w:pPr>
      <w:r>
        <w:t>09. Capabilities &amp; functional requirements</w:t>
      </w:r>
    </w:p>
    <w:p>
      <w:r>
        <w:t xml:space="preserve">Every feature is further specified with input/output, negative case and test ID in </w:t>
      </w:r>
      <w:r>
        <w:rPr>
          <w:rFonts w:ascii="Consolas" w:hAnsi="Consolas"/>
          <w:color w:val="4A4C84"/>
          <w:sz w:val="16"/>
        </w:rPr>
        <w:t>UAT_MATRIX.md</w:t>
      </w:r>
      <w:r>
        <w:t>.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666"/>
        <w:gridCol w:w="1666"/>
        <w:gridCol w:w="1666"/>
        <w:gridCol w:w="1666"/>
        <w:gridCol w:w="1666"/>
        <w:gridCol w:w="1666"/>
      </w:tblGrid>
      <w:tr>
        <w:tc>
          <w:tcPr>
            <w:tcW w:type="dxa" w:w="1666"/>
            <w:vAlign w:val="center"/>
          </w:tcPr>
          <w:p>
            <w:r>
              <w:rPr>
                <w:b/>
                <w:sz w:val="15"/>
              </w:rPr>
              <w:t>FR</w:t>
            </w:r>
          </w:p>
        </w:tc>
        <w:tc>
          <w:tcPr>
            <w:tcW w:type="dxa" w:w="1666"/>
            <w:vAlign w:val="center"/>
          </w:tcPr>
          <w:p>
            <w:r>
              <w:rPr>
                <w:b/>
                <w:sz w:val="15"/>
              </w:rPr>
              <w:t>Priority</w:t>
            </w:r>
          </w:p>
        </w:tc>
        <w:tc>
          <w:tcPr>
            <w:tcW w:type="dxa" w:w="1666"/>
            <w:vAlign w:val="center"/>
          </w:tcPr>
          <w:p>
            <w:r>
              <w:rPr>
                <w:b/>
                <w:sz w:val="15"/>
              </w:rPr>
              <w:t>Scenario/actor</w:t>
            </w:r>
          </w:p>
        </w:tc>
        <w:tc>
          <w:tcPr>
            <w:tcW w:type="dxa" w:w="1666"/>
            <w:vAlign w:val="center"/>
          </w:tcPr>
          <w:p>
            <w:r>
              <w:rPr>
                <w:b/>
                <w:sz w:val="15"/>
              </w:rPr>
              <w:t>Deterministic &amp; adaptive contract</w:t>
            </w:r>
          </w:p>
        </w:tc>
        <w:tc>
          <w:tcPr>
            <w:tcW w:type="dxa" w:w="1666"/>
            <w:vAlign w:val="center"/>
          </w:tcPr>
          <w:p>
            <w:r>
              <w:rPr>
                <w:b/>
                <w:sz w:val="15"/>
              </w:rPr>
              <w:t>Data/permission</w:t>
            </w:r>
          </w:p>
        </w:tc>
        <w:tc>
          <w:tcPr>
            <w:tcW w:type="dxa" w:w="1666"/>
            <w:vAlign w:val="center"/>
          </w:tcPr>
          <w:p>
            <w:r>
              <w:rPr>
                <w:b/>
                <w:sz w:val="15"/>
              </w:rPr>
              <w:t>Acceptance ID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F01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User starts shell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choose A/B, back &amp; switch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no secrets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T01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F02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Maintainer loads domain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 xml:space="preserve">versioned manifest maps </w:t>
            </w:r>
            <w:r>
              <w:rPr>
                <w:rFonts w:ascii="Consolas" w:hAnsi="Consolas"/>
                <w:color w:val="4A4C84"/>
                <w:sz w:val="15"/>
              </w:rPr>
              <w:t>id/title/exports/features/ports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signed/curated only in v0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T02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F03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Developer reads domain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README relevant to selected domain and actual package tree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approved source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T03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F04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Developer exports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real complete ZIP, no credentials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selected package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T04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F05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Consumer learns BYOK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4 Key Academy lessons with completion checks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no billing/password collection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T05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F06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Consumer selects model port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capability check, unsupported direct/managed port blocked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no key in MVM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T06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F07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Consumer sees specialized workspace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two unique tasks &amp; distinct labels under same shell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fixtures only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T07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F08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User runs arithmetic/workflow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locally computed deterministic result + generated report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validates inputs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T08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F09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User requests AI insight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SIMULATED in Ready; in Doing: genuine bounded domain tool call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broker permissions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T09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F10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User probes risks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feature readiness matrix with missing ports and grants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denies unavailable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T10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F11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User exports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report, manifest, diagnostics, developer ZIP, UAT feedback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approved files only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T11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F12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Product Owner tests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Human Gate scorecard / decision receipt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local feedback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T12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F13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User encounters error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invalid input, unsupported provider, disconnect &amp; recovery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no side effect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T13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F14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Must/Doing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Developer connects key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native secret store, no raw browser key handling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OS broker + scoped refs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T14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F15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Must/Doing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Agent acts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max steps/spend, checkpoint, human write gate, provenance trace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scoped tools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T15</w:t>
            </w:r>
          </w:p>
        </w:tc>
      </w:tr>
      <w:tr>
        <w:tc>
          <w:tcPr>
            <w:tcW w:type="dxa" w:w="1666"/>
            <w:vAlign w:val="center"/>
          </w:tcPr>
          <w:p>
            <w:r>
              <w:rPr>
                <w:sz w:val="15"/>
              </w:rPr>
              <w:t>F16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Should/Doing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Maintainer integrates 2nd repo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same manifest and HAL core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license/auth audit</w:t>
            </w:r>
          </w:p>
        </w:tc>
        <w:tc>
          <w:tcPr>
            <w:tcW w:type="dxa" w:w="1666"/>
            <w:vAlign w:val="center"/>
          </w:tcPr>
          <w:p>
            <w:r>
              <w:rPr>
                <w:sz w:val="15"/>
              </w:rPr>
              <w:t>T16</w:t>
            </w:r>
          </w:p>
        </w:tc>
      </w:tr>
    </w:tbl>
    <w:p>
      <w:pPr>
        <w:spacing w:after="40"/>
      </w:pPr>
    </w:p>
    <w:p>
      <w:r>
        <w:rPr>
          <w:b/>
        </w:rPr>
        <w:t>Domain binding invariant:</w:t>
      </w:r>
      <w:r>
        <w:t xml:space="preserve"> </w:t>
      </w:r>
      <w:r>
        <w:rPr>
          <w:rFonts w:ascii="Consolas" w:hAnsi="Consolas"/>
          <w:color w:val="4A4C84"/>
          <w:sz w:val="16"/>
        </w:rPr>
        <w:t>UI_CONTROL → FEATURE_ID → REQUIRED_CAPABILITIES → BOUND_TOOL/WORKFLOW → RESULT_SCHEMA → RECEIPT</w:t>
      </w:r>
      <w:r>
        <w:t>. UI must not show “enabled” solely because a string resembling a key was entered.</w:t>
      </w:r>
    </w:p>
    <w:p>
      <w:pPr>
        <w:pStyle w:val="Heading1"/>
      </w:pPr>
      <w:r>
        <w:t>10. Information architecture and UX</w:t>
      </w:r>
    </w:p>
    <w:p>
      <w:r>
        <w:t>Seven to nine practical surfaces: Home/choose path, Developer Readme, Developer Package, Key Academy, Activation, Domain Studio, Compatibility/Trust, Run/Outputs, Human Gate. Navigation always includes package name, selected mode, current demo/real status, cost warning and restart. Default path is exploration rather than immediate credential solicitation.</w:t>
      </w:r>
    </w:p>
    <w:p>
      <w:r>
        <w:rPr>
          <w:b/>
        </w:rPr>
        <w:t>UX principles:</w:t>
      </w:r>
      <w:r>
        <w:t xml:space="preserve"> progressive disclosure; inspect before connect; teach by doing; domain-native controls; avoid implying chat is the whole product; explicit real/simulated status next to every important effect. Keyboard/contrast/small-screen target AA standards (requires future accessibility audit).</w:t>
      </w:r>
    </w:p>
    <w:p>
      <w:r>
        <w:rPr>
          <w:b/>
        </w:rPr>
        <w:t>Magic moment:</w:t>
      </w:r>
      <w:r>
        <w:t xml:space="preserve"> switch from </w:t>
      </w:r>
      <w:r>
        <w:rPr>
          <w:rFonts w:ascii="Consolas" w:hAnsi="Consolas"/>
          <w:color w:val="4A4C84"/>
          <w:sz w:val="16"/>
        </w:rPr>
        <w:t>Research Diagnostics</w:t>
      </w:r>
      <w:r>
        <w:t xml:space="preserve"> to </w:t>
      </w:r>
      <w:r>
        <w:rPr>
          <w:rFonts w:ascii="Consolas" w:hAnsi="Consolas"/>
          <w:color w:val="4A4C84"/>
          <w:sz w:val="16"/>
        </w:rPr>
        <w:t>Returns Operations</w:t>
      </w:r>
      <w:r>
        <w:t xml:space="preserve"> in the same HAL shell and see task controls, README, binding matrix and export package update </w:t>
      </w:r>
      <w:r>
        <w:rPr>
          <w:b/>
        </w:rPr>
        <w:t>without reloading or changing shell logic</w:t>
      </w:r>
      <w:r>
        <w:t>; complete a different real deterministic task. Target discovery within 60–120 seconds (hypothesis).</w:t>
      </w:r>
    </w:p>
    <w:p>
      <w:pPr>
        <w:pStyle w:val="Heading1"/>
      </w:pPr>
      <w:r>
        <w:t>11. Account, identity and permission design</w:t>
      </w:r>
    </w:p>
    <w:p>
      <w:r>
        <w:rPr>
          <w:b/>
        </w:rPr>
        <w:t>Ready:</w:t>
      </w:r>
      <w:r>
        <w:t xml:space="preserve"> browser-local sample state; no user authentication, API keys, OAuth secrets or real private documents.</w:t>
      </w:r>
    </w:p>
    <w:p>
      <w:r>
        <w:rPr>
          <w:b/>
        </w:rPr>
        <w:t>Doing:</w:t>
      </w:r>
      <w:r>
        <w:t xml:space="preserve"> local OS identity + native credential vault; pass only short-lived credential reference to a trusted native adapter; least-privilege explicit directory/file access; tool-specific user grants and per-action confirmation for publishing/email/deletion or paid jobs; capability and permission deny list cannot be overridden by prompt. Logs redact secrets and personal paths.</w:t>
      </w:r>
    </w:p>
    <w:p>
      <w:r>
        <w:rPr>
          <w:b/>
        </w:rPr>
        <w:t>Matrix:</w:t>
      </w:r>
      <w:r>
        <w:t xml:space="preserve"> consumer may read selected workspace/write to user-approved output path; domain package may request but never grant tools; model receives only authorized context; plugin cannot read arbitrary filesystem; telemetry opt-in.</w:t>
      </w:r>
    </w:p>
    <w:p>
      <w:r>
        <w:rPr>
          <w:b/>
        </w:rPr>
        <w:t>Negative tests:</w:t>
      </w:r>
      <w:r>
        <w:t xml:space="preserve"> another user's file path forbidden; prompt injection asks to upload key→blocked; export scan must not contain raw keys or historical confidential reference content.</w:t>
      </w:r>
    </w:p>
    <w:p>
      <w:pPr>
        <w:pStyle w:val="Heading1"/>
      </w:pPr>
      <w:r>
        <w:t>12. Data inventory and information lifecycle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Entity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Origin/status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Minimum fields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Trust boundary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Retention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Domain package manifest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Maintainer/versioned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id/version/entrypoint/domain/actions/ports/digest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untrusted until verified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installation life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Domain Skills and code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Maintainer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paths/licenses/dependencies/version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executable quarantine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until uninstall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User task data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User-selected fixture/real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value/unit/period/provenance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local chosen paths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user managed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Provider credential reference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Native OS broker in Doing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provider/ref/scopes/created/revoked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secret not serializable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until revoke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Run event/receipt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HAL runtime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stage/tool/effect/status/est cost, no secrets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local runtime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user-configurable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User UAT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User-authored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scores/decision/comments/version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local export (demo)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user choice</w:t>
            </w:r>
          </w:p>
        </w:tc>
      </w:tr>
    </w:tbl>
    <w:p>
      <w:pPr>
        <w:spacing w:after="40"/>
      </w:pPr>
    </w:p>
    <w:p>
      <w:r>
        <w:rPr>
          <w:b/>
        </w:rPr>
        <w:t>Source integrity:</w:t>
      </w:r>
      <w:r>
        <w:t xml:space="preserve"> validate declared files exist, hashes and manifest against actual exports. Reject </w:t>
      </w:r>
      <w:r>
        <w:rPr>
          <w:rFonts w:ascii="Consolas" w:hAnsi="Consolas"/>
          <w:color w:val="4A4C84"/>
          <w:sz w:val="16"/>
        </w:rPr>
        <w:t>../</w:t>
      </w:r>
      <w:r>
        <w:t xml:space="preserve"> traversal, symlink breakout, hidden secret inclusion, unsigned executable packages (Doing). Avoid auto-embedding entire domain repo in model context.</w:t>
      </w:r>
    </w:p>
    <w:p>
      <w:pPr>
        <w:pStyle w:val="Heading1"/>
      </w:pPr>
      <w:r>
        <w:t>13. Data governance and trust boundaries</w:t>
      </w:r>
    </w:p>
    <w:p>
      <w:r>
        <w:t xml:space="preserve">Trust levels: </w:t>
      </w:r>
      <w:r>
        <w:rPr>
          <w:rFonts w:ascii="Consolas" w:hAnsi="Consolas"/>
          <w:color w:val="4A4C84"/>
          <w:sz w:val="16"/>
        </w:rPr>
        <w:t>[trusted signed HAL code]</w:t>
      </w:r>
      <w:r>
        <w:t xml:space="preserve">, </w:t>
      </w:r>
      <w:r>
        <w:rPr>
          <w:rFonts w:ascii="Consolas" w:hAnsi="Consolas"/>
          <w:color w:val="4A4C84"/>
          <w:sz w:val="16"/>
        </w:rPr>
        <w:t>[curated but separately verified domain package]</w:t>
      </w:r>
      <w:r>
        <w:t xml:space="preserve">, </w:t>
      </w:r>
      <w:r>
        <w:rPr>
          <w:rFonts w:ascii="Consolas" w:hAnsi="Consolas"/>
          <w:color w:val="4A4C84"/>
          <w:sz w:val="16"/>
        </w:rPr>
        <w:t>[untrusted imported references/web/documents]</w:t>
      </w:r>
      <w:r>
        <w:t xml:space="preserve">, </w:t>
      </w:r>
      <w:r>
        <w:rPr>
          <w:rFonts w:ascii="Consolas" w:hAnsi="Consolas"/>
          <w:color w:val="4A4C84"/>
          <w:sz w:val="16"/>
        </w:rPr>
        <w:t>[private user data]</w:t>
      </w:r>
      <w:r>
        <w:t xml:space="preserve">, </w:t>
      </w:r>
      <w:r>
        <w:rPr>
          <w:rFonts w:ascii="Consolas" w:hAnsi="Consolas"/>
          <w:color w:val="4A4C84"/>
          <w:sz w:val="16"/>
        </w:rPr>
        <w:t>[native credentials]</w:t>
      </w:r>
      <w:r>
        <w:t xml:space="preserve">. Boundaries are enforced in runtime, </w:t>
      </w:r>
      <w:r>
        <w:rPr>
          <w:b/>
        </w:rPr>
        <w:t>not</w:t>
      </w:r>
      <w:r>
        <w:t xml:space="preserve"> by model self-instruction. A document claiming higher priority cannot grant permissions. Each data flow logs purpose, data class, tool grant and provenance where appropriate. No source enterprise financial/customer documents distributed in public artifacts. Local execution still transmits prompts/context to a remote model when explicitly authorized.</w:t>
      </w:r>
    </w:p>
    <w:p>
      <w:pPr>
        <w:pStyle w:val="Heading1"/>
      </w:pPr>
      <w:r>
        <w:t>14. Three-layer architecture</w:t>
      </w:r>
    </w:p>
    <w:p>
      <w:r>
        <w:rPr>
          <w:b/>
        </w:rPr>
        <w:t>Application:</w:t>
      </w:r>
      <w:r>
        <w:t xml:space="preserve"> shared native shell/webview; onboarding A/B, developer docs, Academy, domain UI, trust panel, approvals, output/UAT.</w:t>
      </w:r>
    </w:p>
    <w:p>
      <w:r>
        <w:rPr>
          <w:b/>
        </w:rPr>
        <w:t>Logic:</w:t>
      </w:r>
      <w:r>
        <w:t xml:space="preserve"> package inspector/parser, manifest/capability resolver, feature binding graph, mode FSM, provider adapter family (direct model / managed agent / embedded channel), typed tool/data gateway, permission evaluator, model loop with step/budget ceilings, local run ledger.</w:t>
      </w:r>
    </w:p>
    <w:p>
      <w:r>
        <w:rPr>
          <w:b/>
        </w:rPr>
        <w:t>Data/infrastructure:</w:t>
      </w:r>
      <w:r>
        <w:t xml:space="preserve"> domain archives, user-selected files, native OS vault, local SQLite state, approved remote model/tool endpoints, output workspace.</w:t>
      </w:r>
    </w:p>
    <w:p>
      <w:r>
        <w:rPr>
          <w:b/>
        </w:rPr>
        <w:t>Contract:</w:t>
      </w:r>
      <w:r>
        <w:t xml:space="preserve"> </w:t>
      </w:r>
      <w:r>
        <w:rPr>
          <w:rFonts w:ascii="Consolas" w:hAnsi="Consolas"/>
          <w:color w:val="4A4C84"/>
          <w:sz w:val="16"/>
        </w:rPr>
        <w:t>inspect(Package)→CompatibilityReport</w:t>
      </w:r>
      <w:r>
        <w:t xml:space="preserve">; </w:t>
      </w:r>
      <w:r>
        <w:rPr>
          <w:rFonts w:ascii="Consolas" w:hAnsi="Consolas"/>
          <w:color w:val="4A4C84"/>
          <w:sz w:val="16"/>
        </w:rPr>
        <w:t>selectDomain(id)→DomainUIModel</w:t>
      </w:r>
      <w:r>
        <w:t xml:space="preserve">; </w:t>
      </w:r>
      <w:r>
        <w:rPr>
          <w:rFonts w:ascii="Consolas" w:hAnsi="Consolas"/>
          <w:color w:val="4A4C84"/>
          <w:sz w:val="16"/>
        </w:rPr>
        <w:t>preflight(provider,domain)→Availability[feature]</w:t>
      </w:r>
      <w:r>
        <w:t xml:space="preserve">; </w:t>
      </w:r>
      <w:r>
        <w:rPr>
          <w:rFonts w:ascii="Consolas" w:hAnsi="Consolas"/>
          <w:color w:val="4A4C84"/>
          <w:sz w:val="16"/>
        </w:rPr>
        <w:t>run(goal,grants)→events/artifact</w:t>
      </w:r>
      <w:r>
        <w:t xml:space="preserve">; </w:t>
      </w:r>
      <w:r>
        <w:rPr>
          <w:rFonts w:ascii="Consolas" w:hAnsi="Consolas"/>
          <w:color w:val="4A4C84"/>
          <w:sz w:val="16"/>
        </w:rPr>
        <w:t>export(kind)→validated bytes</w:t>
      </w:r>
      <w:r>
        <w:t>. All outbound data flows require explicit destination and authorization. In Ready MVM, preflight and model execution are simulated; local deterministic operations actually work.</w:t>
      </w:r>
    </w:p>
    <w:p>
      <w:pPr>
        <w:pStyle w:val="Heading1"/>
      </w:pPr>
      <w:r>
        <w:t>15. Domain knowledge and specialist methods</w:t>
      </w:r>
    </w:p>
    <w:p>
      <w:r>
        <w:t>HAL contains no investment assumptions or healthcare domain procedures by default. The domain package owns its validated methods, inputs/outputs, quality rules, evidence standards, and specialty UX.</w:t>
      </w:r>
    </w:p>
    <w:p>
      <w:r>
        <w:rPr>
          <w:b/>
        </w:rPr>
        <w:t>Demo domain 1 Research Diagnostics:</w:t>
      </w:r>
      <w:r>
        <w:t xml:space="preserve"> formula </w:t>
      </w:r>
      <w:r>
        <w:rPr>
          <w:rFonts w:ascii="Consolas" w:hAnsi="Consolas"/>
          <w:color w:val="4A4C84"/>
          <w:sz w:val="16"/>
        </w:rPr>
        <w:t>(revenue − cost)/revenue</w:t>
      </w:r>
      <w:r>
        <w:t>; valid revenue&gt;0 and cost≥0, with chosen abstract unit; output profit and margin, labeled not investment analysis.</w:t>
      </w:r>
    </w:p>
    <w:p>
      <w:r>
        <w:rPr>
          <w:b/>
        </w:rPr>
        <w:t>Demo domain 2 Returns Operations:</w:t>
      </w:r>
      <w:r>
        <w:t xml:space="preserve"> classify returned packages using explicit condition/receipt/age rules, producing deterministic triage category. No real customer personal data.</w:t>
      </w:r>
    </w:p>
    <w:p>
      <w:r>
        <w:rPr>
          <w:b/>
        </w:rPr>
        <w:t>Domain extension principle:</w:t>
      </w:r>
      <w:r>
        <w:t xml:space="preserve"> independent technical capability and review may be required for regulated decisions; a domain package can declare an expert challenger/review gate where justified, not an obligatory five-agent pattern.</w:t>
      </w:r>
    </w:p>
    <w:p>
      <w:pPr>
        <w:pStyle w:val="Heading1"/>
      </w:pPr>
      <w:r>
        <w:t>16. Business workflow / agent orchestration</w:t>
      </w:r>
    </w:p>
    <w:p>
      <w:r>
        <w:rPr>
          <w:b/>
        </w:rPr>
        <w:t>Mode FSM:</w:t>
      </w:r>
      <w:r>
        <w:t xml:space="preserve"> </w:t>
      </w:r>
      <w:r>
        <w:rPr>
          <w:rFonts w:ascii="Consolas" w:hAnsi="Consolas"/>
          <w:color w:val="4A4C84"/>
          <w:sz w:val="16"/>
        </w:rPr>
        <w:t>UNCONFIGURED → PATH_SELECTED → READINESS_CHECK → READY → RUNNING → (WAITING_APPROVAL | COMPLETED | FAILED | CANCELLED | QUOTA_BLOCKED)</w:t>
      </w:r>
      <w:r>
        <w:t xml:space="preserve">; with </w:t>
      </w:r>
      <w:r>
        <w:rPr>
          <w:rFonts w:ascii="Consolas" w:hAnsi="Consolas"/>
          <w:color w:val="4A4C84"/>
          <w:sz w:val="16"/>
        </w:rPr>
        <w:t>DISCONNECTED → RECONNECT_REQUIRED</w:t>
      </w:r>
      <w:r>
        <w:t xml:space="preserve">, </w:t>
      </w:r>
      <w:r>
        <w:rPr>
          <w:rFonts w:ascii="Consolas" w:hAnsi="Consolas"/>
          <w:color w:val="4A4C84"/>
          <w:sz w:val="16"/>
        </w:rPr>
        <w:t>PARTIAL_OUTPUT</w:t>
      </w:r>
      <w:r>
        <w:t xml:space="preserve"> preserved if permitted.</w:t>
      </w:r>
    </w:p>
    <w:p>
      <w:r>
        <w:rPr>
          <w:b/>
        </w:rPr>
        <w:t>Node contract:</w:t>
      </w:r>
      <w:r>
        <w:t xml:space="preserve"> node ID; actor; trigger; input schema; deterministic operation; optional LLM skill; allowed tools; timeout; output schema; verification gate; human approval condition; next-state, persistence and error policy.</w:t>
      </w:r>
    </w:p>
    <w:p>
      <w:r>
        <w:rPr>
          <w:b/>
        </w:rPr>
        <w:t>Execution proof:</w:t>
      </w:r>
      <w:r>
        <w:t xml:space="preserve"> Doing acceptance requires at least one </w:t>
      </w:r>
      <w:r>
        <w:rPr>
          <w:b/>
        </w:rPr>
        <w:t>actual model-request → authorized tool-call → returned tool result → specialty artifact</w:t>
      </w:r>
      <w:r>
        <w:t xml:space="preserve"> with a receipt and a negative denied tool path. The Ready MVM never claims this completed.</w:t>
      </w:r>
    </w:p>
    <w:p>
      <w:pPr>
        <w:pStyle w:val="Heading1"/>
      </w:pPr>
      <w:r>
        <w:t>17. Vendor/model/API and tool dependencies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Port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Function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Required capabilities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Distinct auth?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Ready / Doing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LLM_DIRECT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generate/stream/tool calling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requested model features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provider API key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simulated / implement one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MANAGED_AGENT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submit task, poll, artifacts, approvals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provider task semantics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account and task rights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incompatible demo / future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EMBEDDED_CHANNEL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hosted third-party agent UI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channel SDK/session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provider channel token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not demoed / later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DATA_FEED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licensed query or private DB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rights/source/schema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distinct from LLM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fixtures / optional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TOOL_API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local filesystem, web, GitHub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typed effects/consent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per tool/provider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deterministic fixtures / guarded</w:t>
            </w:r>
          </w:p>
        </w:tc>
      </w:tr>
    </w:tbl>
    <w:p>
      <w:pPr>
        <w:spacing w:after="40"/>
      </w:pPr>
    </w:p>
    <w:p>
      <w:r>
        <w:t>Do not infer real capability from “OpenAI-compatible” HTTP shape. Provider pricing, geographic constraints, rate limits, tool support, data processing and credential storage rules require current official verification when Doing begins.</w:t>
      </w:r>
    </w:p>
    <w:p>
      <w:pPr>
        <w:pStyle w:val="Heading1"/>
      </w:pPr>
      <w:r>
        <w:t>18. Memory, context, edits and citation</w:t>
      </w:r>
    </w:p>
    <w:p>
      <w:r>
        <w:t>Separate transient turn context, domain asset/version history, run-state checkpoints and opt-in user memory. Every persisted preference has visibility/export/delete controls. For sources/reports record document ID/version/claim-to-citation links and freshness as required by specialty; no phantom citations or invented retrieved knowledge. In the MVM, fixture output and on-page choices are session-only; do not claim persistent learning or true AI memory. Adaptive explanation must never silently rewrite deterministic calculations.</w:t>
      </w:r>
    </w:p>
    <w:p>
      <w:pPr>
        <w:pStyle w:val="Heading1"/>
      </w:pPr>
      <w:r>
        <w:t>19. Nonfunctional requirements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rPr>
                <w:b/>
                <w:sz w:val="15"/>
              </w:rPr>
              <w:t>Attribute</w:t>
            </w:r>
          </w:p>
        </w:tc>
        <w:tc>
          <w:tcPr>
            <w:tcW w:type="dxa" w:w="4997"/>
            <w:vAlign w:val="center"/>
          </w:tcPr>
          <w:p>
            <w:r>
              <w:rPr>
                <w:b/>
                <w:sz w:val="15"/>
              </w:rPr>
              <w:t>Engineering target and validation (proposed)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Security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zero credential value in renderer/log/export; negative path/permission tests; external writes gated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Installability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signed installers for a confirmed OS matrix; clean-machine install without Python/Node terminal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Availability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local app works for deterministic functions offline; AI requires network; explicit offline status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Performance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demo UI navigation immediate; Doing key/preflight bounded with visible timeout/retry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Reliability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interrupted/cancelled tasks have explicit state and error receipt; no fake success fallback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Portability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2 dissimilar audited real domain packages through unchanged HAL core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Observability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structured per-run events, provider usage estimate (not billing truth), no secrets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Accessibility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keyboard navigation, focus state, readable contrasts, screen-reader labels audited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Maintainability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schema-versioned manifests, tests for compatibility/upgrade, rollback plan</w:t>
            </w:r>
          </w:p>
        </w:tc>
      </w:tr>
    </w:tbl>
    <w:p>
      <w:pPr>
        <w:spacing w:after="40"/>
      </w:pPr>
    </w:p>
    <w:p>
      <w:pPr>
        <w:pStyle w:val="Heading1"/>
      </w:pPr>
      <w:r>
        <w:t>20. Key scenarios and Mockup specification</w:t>
      </w:r>
    </w:p>
    <w:p>
      <w:r>
        <w:rPr>
          <w:b/>
        </w:rPr>
        <w:t>Golden G1 / Developer:</w:t>
      </w:r>
      <w:r>
        <w:t xml:space="preserve"> select Returns Operations→Developer→read accurate README→download valid </w:t>
      </w:r>
      <w:r>
        <w:rPr>
          <w:rFonts w:ascii="Consolas" w:hAnsi="Consolas"/>
          <w:color w:val="4A4C84"/>
          <w:sz w:val="16"/>
        </w:rPr>
        <w:t>returns-harness.zip</w:t>
      </w:r>
      <w:r>
        <w:t>→inspect source and run local CLI with documented fixture (manual command outside UI). Pass if all files exist and output matches spec.</w:t>
      </w:r>
    </w:p>
    <w:p>
      <w:r>
        <w:rPr>
          <w:b/>
        </w:rPr>
        <w:t>Golden G2 / Consumer:</w:t>
      </w:r>
      <w:r>
        <w:t xml:space="preserve"> select Research Diagnostics→Intelligent→complete Key Academy→simulate OpenAI preflight→domain Studio→enter revenue 1500 and costs 900→real 600 profit, 40.0% margin→download Markdown; AI explanation always tagged SIMULATED.</w:t>
      </w:r>
    </w:p>
    <w:p>
      <w:r>
        <w:rPr>
          <w:b/>
        </w:rPr>
        <w:t>Golden G3 / Direct product:</w:t>
      </w:r>
      <w:r>
        <w:t xml:space="preserve"> switch to Returns Operations in same running shell→different controls, README/ZIP/binding matrix→choose </w:t>
      </w:r>
      <w:r>
        <w:rPr>
          <w:rFonts w:ascii="Consolas" w:hAnsi="Consolas"/>
          <w:color w:val="4A4C84"/>
          <w:sz w:val="16"/>
        </w:rPr>
        <w:t>sealed / proof yes / 5 days</w:t>
      </w:r>
      <w:r>
        <w:t>→deterministic returns triage and downloadable decision note.</w:t>
      </w:r>
    </w:p>
    <w:p>
      <w:r>
        <w:rPr>
          <w:b/>
        </w:rPr>
        <w:t>Negative N1:</w:t>
      </w:r>
      <w:r>
        <w:t xml:space="preserve"> choose Manus for direct model port→</w:t>
      </w:r>
      <w:r>
        <w:rPr>
          <w:rFonts w:ascii="Consolas" w:hAnsi="Consolas"/>
          <w:color w:val="4A4C84"/>
          <w:sz w:val="16"/>
        </w:rPr>
        <w:t>MANAGED_AGENT_PORT_MISMATCH</w:t>
      </w:r>
      <w:r>
        <w:t>, cannot simulate direct-provider activation.</w:t>
      </w:r>
    </w:p>
    <w:p>
      <w:r>
        <w:rPr>
          <w:b/>
        </w:rPr>
        <w:t>Negative N2:</w:t>
      </w:r>
      <w:r>
        <w:t xml:space="preserve"> revenue=0 or costs&lt;0→validation error, no report until correction.</w:t>
      </w:r>
    </w:p>
    <w:p>
      <w:r>
        <w:rPr>
          <w:b/>
        </w:rPr>
        <w:t>Negative N3:</w:t>
      </w:r>
      <w:r>
        <w:t xml:space="preserve"> disconnected AI→AI interpretation button disabled, deterministic tasks still work.</w:t>
      </w:r>
    </w:p>
    <w:p>
      <w:r>
        <w:rPr>
          <w:b/>
        </w:rPr>
        <w:t>Negative N4:</w:t>
      </w:r>
      <w:r>
        <w:t xml:space="preserve"> attempted API-key input into static demo→no field; security messaging directs future native broker.</w:t>
      </w:r>
    </w:p>
    <w:p>
      <w:r>
        <w:rPr>
          <w:b/>
        </w:rPr>
        <w:t>Creative constraints:</w:t>
      </w:r>
      <w:r>
        <w:t xml:space="preserve"> 3–5 teaching missions, at least 5 distinct interaction types, visible objective/progress, 4 output actions, real cross-domain action, explicit recovery and Human Gate export. </w:t>
      </w:r>
      <w:r>
        <w:rPr>
          <w:rFonts w:ascii="Consolas" w:hAnsi="Consolas"/>
          <w:color w:val="4A4C84"/>
          <w:sz w:val="16"/>
        </w:rPr>
        <w:t>MVM_SPEC.md</w:t>
      </w:r>
      <w:r>
        <w:t xml:space="preserve"> contains UI inventory.</w:t>
      </w:r>
    </w:p>
    <w:p>
      <w:pPr>
        <w:pStyle w:val="Heading1"/>
      </w:pPr>
      <w:r>
        <w:t>21. Economics — cost structure</w:t>
      </w:r>
    </w:p>
    <w:p>
      <w:r>
        <w:rPr>
          <w:b/>
        </w:rPr>
        <w:t>Do not borrow March enterprise PRD amounts or old rate assumptions.</w:t>
      </w:r>
      <w:r>
        <w:t xml:space="preserve"> Normalize </w:t>
      </w:r>
      <w:r>
        <w:rPr>
          <w:rFonts w:ascii="Consolas" w:hAnsi="Consolas"/>
          <w:color w:val="4A4C84"/>
          <w:sz w:val="16"/>
        </w:rPr>
        <w:t>period</w:t>
      </w:r>
      <w:r>
        <w:t xml:space="preserve">, </w:t>
      </w:r>
      <w:r>
        <w:rPr>
          <w:rFonts w:ascii="Consolas" w:hAnsi="Consolas"/>
          <w:color w:val="4A4C84"/>
          <w:sz w:val="16"/>
        </w:rPr>
        <w:t>currency</w:t>
      </w:r>
      <w:r>
        <w:t xml:space="preserve">, </w:t>
      </w:r>
      <w:r>
        <w:rPr>
          <w:rFonts w:ascii="Consolas" w:hAnsi="Consolas"/>
          <w:color w:val="4A4C84"/>
          <w:sz w:val="16"/>
        </w:rPr>
        <w:t>geo</w:t>
      </w:r>
      <w:r>
        <w:t xml:space="preserve">, </w:t>
      </w:r>
      <w:r>
        <w:rPr>
          <w:rFonts w:ascii="Consolas" w:hAnsi="Consolas"/>
          <w:color w:val="4A4C84"/>
          <w:sz w:val="16"/>
        </w:rPr>
        <w:t>unit</w:t>
      </w:r>
      <w:r>
        <w:t xml:space="preserve">, </w:t>
      </w:r>
      <w:r>
        <w:rPr>
          <w:rFonts w:ascii="Consolas" w:hAnsi="Consolas"/>
          <w:color w:val="4A4C84"/>
          <w:sz w:val="16"/>
        </w:rPr>
        <w:t>cohort</w:t>
      </w:r>
      <w:r>
        <w:t xml:space="preserve">, </w:t>
      </w:r>
      <w:r>
        <w:rPr>
          <w:rFonts w:ascii="Consolas" w:hAnsi="Consolas"/>
          <w:color w:val="4A4C84"/>
          <w:sz w:val="16"/>
        </w:rPr>
        <w:t>price source/date</w:t>
      </w:r>
      <w:r>
        <w:t xml:space="preserve">, </w:t>
      </w:r>
      <w:r>
        <w:rPr>
          <w:rFonts w:ascii="Consolas" w:hAnsi="Consolas"/>
          <w:color w:val="4A4C84"/>
          <w:sz w:val="16"/>
        </w:rPr>
        <w:t>license</w:t>
      </w:r>
      <w:r>
        <w:t xml:space="preserve">, </w:t>
      </w:r>
      <w:r>
        <w:rPr>
          <w:rFonts w:ascii="Consolas" w:hAnsi="Consolas"/>
          <w:color w:val="4A4C84"/>
          <w:sz w:val="16"/>
        </w:rPr>
        <w:t>range</w:t>
      </w:r>
      <w:r>
        <w:t xml:space="preserve"> and </w:t>
      </w:r>
      <w:r>
        <w:rPr>
          <w:rFonts w:ascii="Consolas" w:hAnsi="Consolas"/>
          <w:color w:val="4A4C84"/>
          <w:sz w:val="16"/>
        </w:rPr>
        <w:t>confidence</w:t>
      </w:r>
      <w:r>
        <w:t xml:space="preserve"> before pricing.</w:t>
      </w:r>
    </w:p>
    <w:p>
      <w:r>
        <w:rPr>
          <w:b/>
        </w:rPr>
        <w:t>Build = Σ_i(person_days_i × blended_day_rate_i) + security + installer + QA + contingency.</w:t>
      </w:r>
      <w:r>
        <w:t xml:space="preserve"> Candidate work packages: package inspection &amp; manifest (D1), front-end shell (D2), native secret broker (D3), model adapter &amp; loop (D4), tool policies (D5), domain integrations (D6), packaging/security/test (D7). Each D_i and rate is </w:t>
      </w:r>
      <w:r>
        <w:rPr>
          <w:rFonts w:ascii="Consolas" w:hAnsi="Consolas"/>
          <w:color w:val="4A4C84"/>
          <w:sz w:val="16"/>
        </w:rPr>
        <w:t>TO_VALIDATE by Codex audit</w:t>
      </w:r>
      <w:r>
        <w:t>.</w:t>
      </w:r>
    </w:p>
    <w:p>
      <w:r>
        <w:rPr>
          <w:b/>
        </w:rPr>
        <w:t>Recurring per period = model input tokens × provider input rate + output tokens × output rate + provider tool premiums + licensed sources + support + updates + infrastructure (if any).</w:t>
      </w:r>
      <w:r>
        <w:t xml:space="preserve"> BYOK charges user directly for provider inference; HAL may still incur maintainer support and release costs.</w:t>
      </w:r>
    </w:p>
    <w:p>
      <w:r>
        <w:rPr>
          <w:b/>
        </w:rPr>
        <w:t>Sensitivity:</w:t>
      </w:r>
      <w:r>
        <w:t xml:space="preserve"> low/base/high usage and person-days, separated fixed vs variable cost. No “$0 to run” claim without evidence; no vendor price is represented as a quotation.</w:t>
      </w:r>
    </w:p>
    <w:p>
      <w:pPr>
        <w:pStyle w:val="Heading1"/>
      </w:pPr>
      <w:r>
        <w:t>22. Business value and ROI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c>
          <w:tcPr>
            <w:tcW w:type="dxa" w:w="4997"/>
            <w:vAlign w:val="center"/>
          </w:tcPr>
          <w:p>
            <w:r>
              <w:rPr>
                <w:b/>
                <w:sz w:val="15"/>
              </w:rPr>
              <w:t>Expense/constraint</w:t>
            </w:r>
          </w:p>
        </w:tc>
        <w:tc>
          <w:tcPr>
            <w:tcW w:type="dxa" w:w="4997"/>
            <w:vAlign w:val="center"/>
          </w:tcPr>
          <w:p>
            <w:r>
              <w:rPr>
                <w:b/>
                <w:sz w:val="15"/>
              </w:rPr>
              <w:t>Value candidate / measurement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Build and maintenance person-days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reusable second-harness integration engineering-hours saved vs bespoke (measure paired trial)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API fees paid directly by user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measurable valid specialty outputs and user-reported task time vs provider spending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QA, signing and dependency upkeep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fewer broken installs; security incidence and remediation speed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Provider/model volatility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ability to switch compatible model with verified outcome (not merely key-format support)</w:t>
            </w:r>
          </w:p>
        </w:tc>
      </w:tr>
      <w:tr>
        <w:tc>
          <w:tcPr>
            <w:tcW w:type="dxa" w:w="4997"/>
            <w:vAlign w:val="center"/>
          </w:tcPr>
          <w:p>
            <w:r>
              <w:rPr>
                <w:sz w:val="15"/>
              </w:rPr>
              <w:t>Key Academy/onboarding effort</w:t>
            </w:r>
          </w:p>
        </w:tc>
        <w:tc>
          <w:tcPr>
            <w:tcW w:type="dxa" w:w="4997"/>
            <w:vAlign w:val="center"/>
          </w:tcPr>
          <w:p>
            <w:r>
              <w:rPr>
                <w:sz w:val="15"/>
              </w:rPr>
              <w:t>better first-run completion and comprehension, lower support need</w:t>
            </w:r>
          </w:p>
        </w:tc>
      </w:tr>
    </w:tbl>
    <w:p>
      <w:pPr>
        <w:spacing w:after="40"/>
      </w:pPr>
    </w:p>
    <w:p>
      <w:r>
        <w:rPr>
          <w:b/>
        </w:rPr>
        <w:t>ROI only if attributable benefits verified:</w:t>
      </w:r>
      <w:r>
        <w:t xml:space="preserve"> </w:t>
      </w:r>
      <w:r>
        <w:rPr>
          <w:rFonts w:ascii="Consolas" w:hAnsi="Consolas"/>
          <w:color w:val="4A4C84"/>
          <w:sz w:val="16"/>
        </w:rPr>
        <w:t>(validated economic benefit − lifecycle cost) / lifecycle cost</w:t>
      </w:r>
      <w:r>
        <w:t xml:space="preserve">; separately report qualitative strategy/trust. Time redeployed is not automatic payroll saving. Pilot business case remains </w:t>
      </w:r>
      <w:r>
        <w:rPr>
          <w:rFonts w:ascii="Consolas" w:hAnsi="Consolas"/>
          <w:color w:val="4A4C84"/>
          <w:sz w:val="16"/>
        </w:rPr>
        <w:t>OPEN</w:t>
      </w:r>
      <w:r>
        <w:t xml:space="preserve"> until measured.</w:t>
      </w:r>
    </w:p>
    <w:p>
      <w:pPr>
        <w:pStyle w:val="Heading1"/>
      </w:pPr>
      <w:r>
        <w:t>23. Supplier scope / request for proposal</w:t>
      </w:r>
    </w:p>
    <w:p>
      <w:r>
        <w:t>Codex implementation response must include: source repo/license audit; package &amp; manifest validation; component boundary; tool/data dependency inventory; proposed native key store and threat model; provider adapter selection; person-day range by work package with assumptions; real trace and one negative case; test/mocking boundary; clean install matrix; exported artifacts; rollback and release plan; exclusions; IP/security commitments; acceptance evidence. A mockup or a successful LLM response is not payment/acceptance by itself.</w:t>
      </w:r>
    </w:p>
    <w:p>
      <w:pPr>
        <w:pStyle w:val="Heading1"/>
      </w:pPr>
      <w:r>
        <w:t>24. Risks, assumptions and alternatives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c>
          <w:tcPr>
            <w:tcW w:type="dxa" w:w="2498"/>
            <w:vAlign w:val="center"/>
          </w:tcPr>
          <w:p>
            <w:r>
              <w:rPr>
                <w:b/>
                <w:sz w:val="15"/>
              </w:rPr>
              <w:t>Risk / alternative</w:t>
            </w:r>
          </w:p>
        </w:tc>
        <w:tc>
          <w:tcPr>
            <w:tcW w:type="dxa" w:w="2498"/>
            <w:vAlign w:val="center"/>
          </w:tcPr>
          <w:p>
            <w:r>
              <w:rPr>
                <w:b/>
                <w:sz w:val="15"/>
              </w:rPr>
              <w:t>Trigger</w:t>
            </w:r>
          </w:p>
        </w:tc>
        <w:tc>
          <w:tcPr>
            <w:tcW w:type="dxa" w:w="2498"/>
            <w:vAlign w:val="center"/>
          </w:tcPr>
          <w:p>
            <w:r>
              <w:rPr>
                <w:b/>
                <w:sz w:val="15"/>
              </w:rPr>
              <w:t>Mitigation / test</w:t>
            </w:r>
          </w:p>
        </w:tc>
        <w:tc>
          <w:tcPr>
            <w:tcW w:type="dxa" w:w="2498"/>
            <w:vAlign w:val="center"/>
          </w:tcPr>
          <w:p>
            <w:r>
              <w:rPr>
                <w:b/>
                <w:sz w:val="15"/>
              </w:rPr>
              <w:t>Owner/status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5"/>
              </w:rPr>
              <w:t>Existing IDE/GitHub workflow already sufficient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developers prefer no launcher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unassisted baseline comparative task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Product / OPEN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5"/>
              </w:rPr>
              <w:t>Any arbitrary repo cannot run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missing deps/unsafe code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curated first, parser and sandbox roadmap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Engineering / PROPOSAL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5"/>
              </w:rPr>
              <w:t>Provider key incompatible or insufficient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managed Agent≠model; missing data rights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typed port registry and blocked state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Engineering / PROPOSAL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5"/>
              </w:rPr>
              <w:t>Secret leak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frontend/logger/export includes raw value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native store + scanning + no demo key field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Security / MUST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5"/>
              </w:rPr>
              <w:t>Decorative assistant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model cannot invoke specialist tool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require end-to-end domain workflow in Doing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Product+QA / MUST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5"/>
              </w:rPr>
              <w:t>Scope creep / impossible cross-domain promise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every new domain needs special runtime change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explicitly measure second-domain adaptation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Engineering / OPEN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5"/>
              </w:rPr>
              <w:t>Historical costs imported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source cases in different periods/currencies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use formulas + fresh quotes only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Product / MUST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sz w:val="15"/>
              </w:rPr>
              <w:t>Consumer privacy expectations wrong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data leaves local device for model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consent screen and data flow receipts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Security / MUST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b/>
                <w:sz w:val="15"/>
              </w:rPr>
              <w:t>A0 GitHub only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no common shell or B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lower costs, weaker consumer UX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alternative retained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b/>
                <w:sz w:val="15"/>
              </w:rPr>
              <w:t>A1 bespoke app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high specialty control, duplicated platform work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baseline for reusability trial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alternative retained</w:t>
            </w:r>
          </w:p>
        </w:tc>
      </w:tr>
      <w:tr>
        <w:tc>
          <w:tcPr>
            <w:tcW w:type="dxa" w:w="2498"/>
            <w:vAlign w:val="center"/>
          </w:tcPr>
          <w:p>
            <w:r>
              <w:rPr>
                <w:b/>
                <w:sz w:val="15"/>
              </w:rPr>
              <w:t>A2 cloud launcher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always-on convenience, hosted data/ops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future option, rejected for current local-first Need</w:t>
            </w:r>
          </w:p>
        </w:tc>
        <w:tc>
          <w:tcPr>
            <w:tcW w:type="dxa" w:w="2498"/>
            <w:vAlign w:val="center"/>
          </w:tcPr>
          <w:p>
            <w:r>
              <w:rPr>
                <w:sz w:val="15"/>
              </w:rPr>
              <w:t>alternative retained</w:t>
            </w:r>
          </w:p>
        </w:tc>
      </w:tr>
    </w:tbl>
    <w:p>
      <w:pPr>
        <w:spacing w:after="40"/>
      </w:pPr>
    </w:p>
    <w:p>
      <w:r>
        <w:rPr>
          <w:b/>
        </w:rPr>
        <w:t>Strongest objection:</w:t>
      </w:r>
      <w:r>
        <w:t xml:space="preserve"> a shared abstraction may burden niche specialists with interface limits; kill or narrow product if integration hours/quality don't beat a bespoke implementation.</w:t>
      </w:r>
    </w:p>
    <w:p>
      <w:pPr>
        <w:pStyle w:val="Heading1"/>
      </w:pPr>
      <w:r>
        <w:t>25. Quality gates and acceptance testing</w:t>
      </w:r>
    </w:p>
    <w:p>
      <w:r>
        <w:rPr>
          <w:b/>
        </w:rPr>
        <w:t>Ready gates:</w:t>
      </w:r>
      <w:r>
        <w:t xml:space="preserve"> (Q1) seven-plus functional views; (Q2) two profiles same shell; (Q3) real deterministic specialist outputs; (Q4) real ZIP exports; (Q5) incompatible provider blocked; (Q6) explicit REAL/SIMULATED labels; (Q7) UAT JSON; (Q8) 5–7 min opening &amp; human script; (Q9) all file links and archive contents verified; (Q10) invalid case/recovery; (Q11) package integrity/no secrets; (Q12) annotated honest browser-test debt.</w:t>
      </w:r>
    </w:p>
    <w:p>
      <w:r>
        <w:rPr>
          <w:b/>
        </w:rPr>
        <w:t>Doing gates:</w:t>
      </w:r>
      <w:r>
        <w:t xml:space="preserve"> actual OS vault, network API call, allowed tool and denied tool, real report, consent receipt, model budgets, crash/disconnect behavior, clean install, actual two-repo integration; independent security review before distribution.</w:t>
      </w:r>
    </w:p>
    <w:p>
      <w:r>
        <w:rPr>
          <w:b/>
        </w:rPr>
        <w:t>Human Gate:</w:t>
      </w:r>
      <w:r>
        <w:t xml:space="preserve"> DOING / MODIFY / PARKED / BLOCKED; default </w:t>
      </w:r>
      <w:r>
        <w:rPr>
          <w:b/>
        </w:rPr>
        <w:t>PENDING</w:t>
      </w:r>
      <w:r>
        <w:t>. Artifact delivery is not automatic approval or public release.</w:t>
      </w:r>
    </w:p>
    <w:p>
      <w:pPr>
        <w:pStyle w:val="Heading1"/>
      </w:pPr>
      <w:r>
        <w:t>26. Milestones, dependencies and resource plan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Phase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Exit deliverable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Blocking dependency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Proposed role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Time/effort status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READY v2 (now)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PRD, MVM, trace, UAT, source packs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current Need + reference baseline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Product / MVM engineer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produced; human test pending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GATE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Human UX findings + explicit verdict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user walkthrough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Product Owner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OPEN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DOING-1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license audit, manifest spec, local broker and one model port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approved scope, target OS and provider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Codex + security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estimate pending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DOING-2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one real specialist model-tool-run; denied writes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working tool contracts/credentials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Codex + QA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estimate pending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DOING-3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second real domain + unchanged shell proof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domain repo rights and access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Codex + reviewer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estimate pending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REVIEW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signed installer, clean-machine test, release checklist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all gates + separate publication consent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QA + Product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not authorized</w:t>
            </w:r>
          </w:p>
        </w:tc>
      </w:tr>
    </w:tbl>
    <w:p>
      <w:pPr>
        <w:spacing w:after="40"/>
      </w:pPr>
    </w:p>
    <w:p>
      <w:r>
        <w:t xml:space="preserve">Parallel activities (README/spec, UX, fixtures) may start after Need capture; credential handling and arbitrary code may not precede trust/permission design. This is a </w:t>
      </w:r>
      <w:r>
        <w:rPr>
          <w:b/>
        </w:rPr>
        <w:t>dependency-first plan</w:t>
      </w:r>
      <w:r>
        <w:t>, not an invented delivery date or supplier commitment.</w:t>
      </w:r>
    </w:p>
    <w:p>
      <w:pPr>
        <w:pStyle w:val="Heading1"/>
      </w:pPr>
      <w:r>
        <w:t>27. Operations and change management</w:t>
      </w:r>
    </w:p>
    <w:p>
      <w:r>
        <w:t>Version HAL core, manifest schema, provider guides and domain packages separately. Registry records compatibility matrix, migration notes, rollback, deprecation grace, blocked extension. Run ledger contains nonsecret state/usage estimates; output artifacts remain local or at explicitly authorized destination. Users can export/delete their tasks and disconnect provider; declining telemetry doesn't remove deterministic functionality. Incident procedure: invalidate exposed key, disable extension, preserve redacted diagnostic and publish fixed version only after review.</w:t>
      </w:r>
    </w:p>
    <w:p>
      <w:pPr>
        <w:pStyle w:val="Heading1"/>
      </w:pPr>
      <w:r>
        <w:t>28. Decision governance and signoff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Decision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Options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Evidence needed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Approver</w:t>
            </w:r>
          </w:p>
        </w:tc>
        <w:tc>
          <w:tcPr>
            <w:tcW w:type="dxa" w:w="1999"/>
            <w:vAlign w:val="center"/>
          </w:tcPr>
          <w:p>
            <w:r>
              <w:rPr>
                <w:b/>
                <w:sz w:val="15"/>
              </w:rPr>
              <w:t>Default until resolved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D01 First supported OS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macOS / Windows / both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target testers, signing cost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Human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no assumption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D02 Which real domain repo first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Research vs MemoriGPT vs other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license, completeness, authorized data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Human+Codex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curated sample only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D03 Model provider and region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supported providers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real feature compatibility and privacy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Human+Security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mock simulation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D04 Runtime stack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Tauri/Rust vs other local patterns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threat model, team skills, estimates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Codex recommends/Human approves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architecture option only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D05 Source/private permissions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local-only, optional connectors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data inventory &amp; owner grants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Security+Human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deny by default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D06 Budget and sprint scope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narrow / expanded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days×rates &amp; resources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Human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not approved</w:t>
            </w:r>
          </w:p>
        </w:tc>
      </w:tr>
      <w:tr>
        <w:tc>
          <w:tcPr>
            <w:tcW w:type="dxa" w:w="1999"/>
            <w:vAlign w:val="center"/>
          </w:tcPr>
          <w:p>
            <w:r>
              <w:rPr>
                <w:sz w:val="15"/>
              </w:rPr>
              <w:t>D07 Public GitHub release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yes/no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license, secure code, QA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Human</w:t>
            </w:r>
          </w:p>
        </w:tc>
        <w:tc>
          <w:tcPr>
            <w:tcW w:type="dxa" w:w="1999"/>
            <w:vAlign w:val="center"/>
          </w:tcPr>
          <w:p>
            <w:r>
              <w:rPr>
                <w:sz w:val="15"/>
              </w:rPr>
              <w:t>NO</w:t>
            </w:r>
          </w:p>
        </w:tc>
      </w:tr>
    </w:tbl>
    <w:p>
      <w:pPr>
        <w:spacing w:after="40"/>
      </w:pPr>
    </w:p>
    <w:p>
      <w:r>
        <w:t>No implicit approval from an excellent score or mockup. Change log tracks decisions separately from proposed implementation.</w:t>
      </w:r>
    </w:p>
    <w:p>
      <w:pPr>
        <w:pStyle w:val="Heading1"/>
      </w:pPr>
      <w:r>
        <w:t>29. Appendix — Traceability and source map</w:t>
      </w:r>
    </w:p>
    <w:p>
      <w:r>
        <w:t xml:space="preserve">Core source lineage: </w:t>
      </w:r>
      <w:r>
        <w:rPr>
          <w:rFonts w:ascii="Consolas" w:hAnsi="Consolas"/>
          <w:color w:val="4A4C84"/>
          <w:sz w:val="16"/>
        </w:rPr>
        <w:t>NEED_NORMALIZED.md</w:t>
      </w:r>
      <w:r>
        <w:t xml:space="preserve"> (N01–N06) → </w:t>
      </w:r>
      <w:r>
        <w:rPr>
          <w:rFonts w:ascii="Consolas" w:hAnsi="Consolas"/>
          <w:color w:val="4A4C84"/>
          <w:sz w:val="16"/>
        </w:rPr>
        <w:t>TRACEABILITY.csv</w:t>
      </w:r>
      <w:r>
        <w:t xml:space="preserve"> → </w:t>
      </w:r>
      <w:r>
        <w:rPr>
          <w:rFonts w:ascii="Consolas" w:hAnsi="Consolas"/>
          <w:color w:val="4A4C84"/>
          <w:sz w:val="16"/>
        </w:rPr>
        <w:t>UAT_MATRIX.md</w:t>
      </w:r>
      <w:r>
        <w:t xml:space="preserve">; previous </w:t>
      </w:r>
      <w:r>
        <w:rPr>
          <w:rFonts w:ascii="Consolas" w:hAnsi="Consolas"/>
          <w:color w:val="4A4C84"/>
          <w:sz w:val="16"/>
        </w:rPr>
        <w:t>HAL_PRD_v1_0.md</w:t>
      </w:r>
      <w:r>
        <w:t xml:space="preserve"> and </w:t>
      </w:r>
      <w:r>
        <w:rPr>
          <w:rFonts w:ascii="Consolas" w:hAnsi="Consolas"/>
          <w:color w:val="4A4C84"/>
          <w:sz w:val="16"/>
        </w:rPr>
        <w:t>ready-mvm/index.html</w:t>
      </w:r>
      <w:r>
        <w:t xml:space="preserve"> are BASELINE, not proof of live AI. Generative method from v2 </w:t>
      </w:r>
      <w:r>
        <w:rPr>
          <w:rFonts w:ascii="Consolas" w:hAnsi="Consolas"/>
          <w:color w:val="4A4C84"/>
          <w:sz w:val="16"/>
        </w:rPr>
        <w:t>SKILL.md</w:t>
      </w:r>
      <w:r>
        <w:t xml:space="preserve">, </w:t>
      </w:r>
      <w:r>
        <w:rPr>
          <w:rFonts w:ascii="Consolas" w:hAnsi="Consolas"/>
          <w:color w:val="4A4C84"/>
          <w:sz w:val="16"/>
        </w:rPr>
        <w:t>01-CONVERSION_KERNEL.md</w:t>
      </w:r>
      <w:r>
        <w:t xml:space="preserve">, </w:t>
      </w:r>
      <w:r>
        <w:rPr>
          <w:rFonts w:ascii="Consolas" w:hAnsi="Consolas"/>
          <w:color w:val="4A4C84"/>
          <w:sz w:val="16"/>
        </w:rPr>
        <w:t>04-GENERATIVE_OPERATORS.md</w:t>
      </w:r>
      <w:r>
        <w:t xml:space="preserve">, </w:t>
      </w:r>
      <w:r>
        <w:rPr>
          <w:rFonts w:ascii="Consolas" w:hAnsi="Consolas"/>
          <w:color w:val="4A4C84"/>
          <w:sz w:val="16"/>
        </w:rPr>
        <w:t>01-MASTER_PRD.md</w:t>
      </w:r>
      <w:r>
        <w:t xml:space="preserve">, specialized UAT/role/data/cost templates. Historical 虎翼 PRDs/diagrams abstracted into reusable principles (WHY/WHAT/HOW, scope/security, cost-value and acceptance) but their company actors, dollar figures, provider selections and sensitive data are not copied as new truth. The detailed </w:t>
      </w:r>
      <w:r>
        <w:rPr>
          <w:rFonts w:ascii="Consolas" w:hAnsi="Consolas"/>
          <w:color w:val="4A4C84"/>
          <w:sz w:val="16"/>
        </w:rPr>
        <w:t>SOURCE_AND_DECISION_LEDGER.md</w:t>
      </w:r>
      <w:r>
        <w:t xml:space="preserve"> distinguishes these states. No market study or live model test has been performed in this Ready stage.</w:t>
      </w:r>
    </w:p>
    <w:p>
      <w:pPr>
        <w:pStyle w:val="Heading1"/>
      </w:pPr>
      <w:r>
        <w:t>30. Professional slide/diagram blueprint</w:t>
      </w:r>
    </w:p>
    <w:p>
      <w:r>
        <w:t xml:space="preserve">For review deck (not produced as an independent slide artifact): slide 1 Need/problem/status; slide 2 before-after user journey; slide 3 </w:t>
      </w:r>
      <w:r>
        <w:rPr>
          <w:b/>
        </w:rPr>
        <w:t>shared shell + two domain packages and two paths</w:t>
      </w:r>
      <w:r>
        <w:t xml:space="preserve"> (arrows labeled data/permission); slide 4 typed model/managed-agent/tool connectors; slide 5 state/denied paths and secret boundary; slide 6 cost-value equation (zero fictitious estimates); slide 7 direct product MVM and demo test; slide 8 decision, blockers and next sprint. Each diagram must be convertible into implementation and acceptance contracts, not abstract decoration.</w:t>
      </w:r>
    </w:p>
    <w:p>
      <w:pPr>
        <w:pStyle w:val="Heading1"/>
      </w:pPr>
      <w:r>
        <w:t>31. Engineering handoff and next learning experiment</w:t>
      </w:r>
    </w:p>
    <w:p>
      <w:r>
        <w:rPr>
          <w:b/>
        </w:rPr>
        <w:t>Pilot learning experiment now:</w:t>
      </w:r>
      <w:r>
        <w:t xml:space="preserve"> compare v1 and v2 MVM through one unassisted user run, observe whether domain-switch and capabilities are understood; collect exported JSON; record modifications.</w:t>
      </w:r>
    </w:p>
    <w:p>
      <w:r>
        <w:rPr>
          <w:b/>
        </w:rPr>
        <w:t>Approved future engineering experiment (only after DOING):</w:t>
      </w:r>
      <w:r>
        <w:t xml:space="preserve"> import two legitimate nontrivial repositories, retain their distinct specialty tests, implement one real guarded model loop, measure adaptation hours and model-vs-tool capability mismatches.</w:t>
      </w:r>
    </w:p>
    <w:p>
      <w:r>
        <w:rPr>
          <w:b/>
        </w:rPr>
        <w:t>Handoff:</w:t>
      </w:r>
      <w:r>
        <w:t xml:space="preserve"> </w:t>
      </w:r>
      <w:r>
        <w:rPr>
          <w:rFonts w:ascii="Consolas" w:hAnsi="Consolas"/>
          <w:color w:val="4A4C84"/>
          <w:sz w:val="16"/>
        </w:rPr>
        <w:t>CODEX_HANDOFF.md</w:t>
      </w:r>
      <w:r>
        <w:t xml:space="preserve"> lists boundaries and QA evidence. </w:t>
      </w:r>
      <w:r>
        <w:rPr>
          <w:b/>
        </w:rPr>
        <w:t>Skill self-recursion:</w:t>
      </w:r>
      <w:r>
        <w:t xml:space="preserve"> </w:t>
      </w:r>
      <w:r>
        <w:rPr>
          <w:rFonts w:ascii="Consolas" w:hAnsi="Consolas"/>
          <w:color w:val="4A4C84"/>
          <w:sz w:val="16"/>
        </w:rPr>
        <w:t>PILOT_RECURSION.md</w:t>
      </w:r>
      <w:r>
        <w:t xml:space="preserve"> records v2 template failure modes, proposed patches and regression prompts; it must not rewrite evidence retroactively or claim the Skill is installed/updated.</w:t>
      </w:r>
    </w:p>
    <w:p>
      <w:r>
        <w:rPr>
          <w:b/>
        </w:rPr>
        <w:t>Current verdict:</w:t>
      </w:r>
      <w:r>
        <w:t xml:space="preserve"> READY_FOR_HUMAN_UAT_WITH_DEBT; </w:t>
      </w:r>
      <w:r>
        <w:rPr>
          <w:rFonts w:ascii="Consolas" w:hAnsi="Consolas"/>
          <w:color w:val="4A4C84"/>
          <w:sz w:val="16"/>
        </w:rPr>
        <w:t>HUMAN_GATE=PENDING</w:t>
      </w:r>
      <w:r>
        <w:t>; engineering and public distribution NOT started.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23" w:bottom="965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6B7E"/>
        <w:sz w:val="16"/>
      </w:rPr>
      <w:t xml:space="preserve">HAL-P2D-001   •   2026-10-14   •   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778F"/>
        <w:sz w:val="16"/>
      </w:rPr>
      <w:t>HAL  /  PRODUCT REQUIREMENTS  /  v2.0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 w:eastAsia="Noto Sans CJK SC"/>
      <w:color w:val="222D3D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233D6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Aptos Display" w:hAnsi="Aptos Display" w:eastAsia="Noto Sans CJK SC"/>
      <w:b/>
      <w:bCs/>
      <w:color w:val="2841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80" w:after="14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1476F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40" w:line="240" w:lineRule="auto" w:before="160"/>
      <w:contextualSpacing/>
    </w:pPr>
    <w:rPr>
      <w:rFonts w:asciiTheme="majorHAnsi" w:eastAsiaTheme="majorEastAsia" w:hAnsiTheme="majorHAnsi" w:cstheme="majorBidi" w:ascii="Aptos Display" w:hAnsi="Aptos Display" w:eastAsia="Noto Sans CJK SC"/>
      <w:b/>
      <w:color w:val="1C2C4D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HAL Product Requirements Document v2.0</dc:title>
  <dc:subject>Need-to-PRD Skill Pilot</dc:subject>
  <dc:creator>HAL Product Engineering</dc:creator>
  <cp:keywords>HAL, PRD, MVM, Human Gate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