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30"/>
          <w:szCs w:val="30"/>
        </w:rPr>
        <w:t xml:space="preserve"/>
      </w:r>
    </w:p>
    <w:p>
      <w:pPr>
        <w:spacing w:after="100"/>
        <w:jc w:val="center"/>
      </w:pPr>
      <w:r>
        <w:rPr>
          <w:b/>
          <w:bCs/>
          <w:color w:val="1F3864"/>
          <w:sz w:val="40"/>
          <w:szCs w:val="40"/>
        </w:rPr>
        <w:t xml:space="preserve">HR &amp; Payroll Data Migration</w:t>
      </w:r>
    </w:p>
    <w:p>
      <w:pPr>
        <w:spacing w:after="160"/>
        <w:jc w:val="center"/>
      </w:pPr>
      <w:r>
        <w:rPr>
          <w:b/>
          <w:bCs/>
          <w:color w:val="2E5A88"/>
          <w:sz w:val="32"/>
          <w:szCs w:val="32"/>
        </w:rPr>
        <w:t xml:space="preserve">Data Mapping Specification</w:t>
      </w:r>
    </w:p>
    <w:p>
      <w:pPr>
        <w:spacing w:after="700"/>
        <w:jc w:val="center"/>
      </w:pPr>
      <w:r>
        <w:rPr>
          <w:i/>
          <w:iCs/>
          <w:color w:val="555555"/>
          <w:sz w:val="24"/>
          <w:szCs w:val="24"/>
        </w:rPr>
        <w:t xml:space="preserve">HR.net and MiraclePay to SAP HCM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3EC" w:val="clear"/>
            <w:tcMar>
              <w:top w:type="dxa" w:w="70"/>
              <w:left w:type="dxa" w:w="110"/>
              <w:bottom w:type="dxa" w:w="70"/>
              <w:right w:type="dxa" w:w="110"/>
            </w:tcMar>
          </w:tcPr>
          <w:p>
            <w:r>
              <w:rPr>
                <w:b/>
                <w:bCs/>
                <w:sz w:val="19"/>
                <w:szCs w:val="19"/>
              </w:rPr>
              <w:t xml:space="preserve">Document control</w:t>
            </w:r>
          </w:p>
        </w:tc>
        <w:tc>
          <w:tcPr>
            <w:tcW w:type="dxa" w:w="6760"/>
            <w:shd w:fill="DCE3EC" w:val="clear"/>
            <w:tcMar>
              <w:top w:type="dxa" w:w="70"/>
              <w:left w:type="dxa" w:w="110"/>
              <w:bottom w:type="dxa" w:w="70"/>
              <w:right w:type="dxa" w:w="110"/>
            </w:tcMar>
          </w:tcPr>
          <w:p>
            <w:r>
              <w:rPr>
                <w:b/>
                <w:bCs/>
                <w:sz w:val="19"/>
                <w:szCs w:val="19"/>
              </w:rPr>
              <w:t xml:space="preserve"/>
            </w:r>
          </w:p>
        </w:tc>
      </w:tr>
      <w:tr>
        <w:tc>
          <w:tcPr>
            <w:tcW w:type="dxa" w:w="2600"/>
            <w:tcMar>
              <w:top w:type="dxa" w:w="70"/>
              <w:left w:type="dxa" w:w="110"/>
              <w:bottom w:type="dxa" w:w="70"/>
              <w:right w:type="dxa" w:w="110"/>
            </w:tcMar>
          </w:tcPr>
          <w:p>
            <w:r>
              <w:rPr>
                <w:b w:val="false"/>
                <w:bCs w:val="false"/>
                <w:sz w:val="19"/>
                <w:szCs w:val="19"/>
              </w:rPr>
              <w:t xml:space="preserve">Document title</w:t>
            </w:r>
          </w:p>
        </w:tc>
        <w:tc>
          <w:tcPr>
            <w:tcW w:type="dxa" w:w="6760"/>
            <w:tcMar>
              <w:top w:type="dxa" w:w="70"/>
              <w:left w:type="dxa" w:w="110"/>
              <w:bottom w:type="dxa" w:w="70"/>
              <w:right w:type="dxa" w:w="110"/>
            </w:tcMar>
          </w:tcPr>
          <w:p>
            <w:r>
              <w:rPr>
                <w:b w:val="false"/>
                <w:bCs w:val="false"/>
                <w:sz w:val="19"/>
                <w:szCs w:val="19"/>
              </w:rPr>
              <w:t xml:space="preserve">HR &amp; Payroll Data Migration: Data Mapping Specification</w:t>
            </w:r>
          </w:p>
        </w:tc>
      </w:tr>
      <w:tr>
        <w:tc>
          <w:tcPr>
            <w:tcW w:type="dxa" w:w="2600"/>
            <w:tcMar>
              <w:top w:type="dxa" w:w="70"/>
              <w:left w:type="dxa" w:w="110"/>
              <w:bottom w:type="dxa" w:w="70"/>
              <w:right w:type="dxa" w:w="110"/>
            </w:tcMar>
          </w:tcPr>
          <w:p>
            <w:r>
              <w:rPr>
                <w:b w:val="false"/>
                <w:bCs w:val="false"/>
                <w:sz w:val="19"/>
                <w:szCs w:val="19"/>
              </w:rPr>
              <w:t xml:space="preserve">Version</w:t>
            </w:r>
          </w:p>
        </w:tc>
        <w:tc>
          <w:tcPr>
            <w:tcW w:type="dxa" w:w="6760"/>
            <w:tcMar>
              <w:top w:type="dxa" w:w="70"/>
              <w:left w:type="dxa" w:w="110"/>
              <w:bottom w:type="dxa" w:w="70"/>
              <w:right w:type="dxa" w:w="110"/>
            </w:tcMar>
          </w:tcPr>
          <w:p>
            <w:r>
              <w:rPr>
                <w:b w:val="false"/>
                <w:bCs w:val="false"/>
                <w:sz w:val="19"/>
                <w:szCs w:val="19"/>
              </w:rPr>
              <w:t xml:space="preserve">1.0</w:t>
            </w:r>
          </w:p>
        </w:tc>
      </w:tr>
      <w:tr>
        <w:tc>
          <w:tcPr>
            <w:tcW w:type="dxa" w:w="2600"/>
            <w:tcMar>
              <w:top w:type="dxa" w:w="70"/>
              <w:left w:type="dxa" w:w="110"/>
              <w:bottom w:type="dxa" w:w="70"/>
              <w:right w:type="dxa" w:w="110"/>
            </w:tcMar>
          </w:tcPr>
          <w:p>
            <w:r>
              <w:rPr>
                <w:b w:val="false"/>
                <w:bCs w:val="false"/>
                <w:sz w:val="19"/>
                <w:szCs w:val="19"/>
              </w:rPr>
              <w:t xml:space="preserve">Status</w:t>
            </w:r>
          </w:p>
        </w:tc>
        <w:tc>
          <w:tcPr>
            <w:tcW w:type="dxa" w:w="6760"/>
            <w:tcMar>
              <w:top w:type="dxa" w:w="70"/>
              <w:left w:type="dxa" w:w="110"/>
              <w:bottom w:type="dxa" w:w="70"/>
              <w:right w:type="dxa" w:w="110"/>
            </w:tcMar>
          </w:tcPr>
          <w:p>
            <w:r>
              <w:rPr>
                <w:b w:val="false"/>
                <w:bCs w:val="false"/>
                <w:sz w:val="19"/>
                <w:szCs w:val="19"/>
              </w:rPr>
              <w:t xml:space="preserve">DRAFT — awaiting business sign-off</w:t>
            </w:r>
          </w:p>
        </w:tc>
      </w:tr>
      <w:tr>
        <w:tc>
          <w:tcPr>
            <w:tcW w:type="dxa" w:w="2600"/>
            <w:tcMar>
              <w:top w:type="dxa" w:w="70"/>
              <w:left w:type="dxa" w:w="110"/>
              <w:bottom w:type="dxa" w:w="70"/>
              <w:right w:type="dxa" w:w="110"/>
            </w:tcMar>
          </w:tcPr>
          <w:p>
            <w:r>
              <w:rPr>
                <w:b w:val="false"/>
                <w:bCs w:val="false"/>
                <w:sz w:val="19"/>
                <w:szCs w:val="19"/>
              </w:rPr>
              <w:t xml:space="preserve">Author</w:t>
            </w:r>
          </w:p>
        </w:tc>
        <w:tc>
          <w:tcPr>
            <w:tcW w:type="dxa" w:w="6760"/>
            <w:tcMar>
              <w:top w:type="dxa" w:w="70"/>
              <w:left w:type="dxa" w:w="110"/>
              <w:bottom w:type="dxa" w:w="70"/>
              <w:right w:type="dxa" w:w="110"/>
            </w:tcMar>
          </w:tcPr>
          <w:p>
            <w:r>
              <w:rPr>
                <w:b w:val="false"/>
                <w:bCs w:val="false"/>
                <w:sz w:val="19"/>
                <w:szCs w:val="19"/>
              </w:rPr>
              <w:t xml:space="preserve">Chikeziri Nnodum, Data Migration Analyst</w:t>
            </w:r>
          </w:p>
        </w:tc>
      </w:tr>
      <w:tr>
        <w:tc>
          <w:tcPr>
            <w:tcW w:type="dxa" w:w="2600"/>
            <w:tcMar>
              <w:top w:type="dxa" w:w="70"/>
              <w:left w:type="dxa" w:w="110"/>
              <w:bottom w:type="dxa" w:w="70"/>
              <w:right w:type="dxa" w:w="110"/>
            </w:tcMar>
          </w:tcPr>
          <w:p>
            <w:r>
              <w:rPr>
                <w:b w:val="false"/>
                <w:bCs w:val="false"/>
                <w:sz w:val="19"/>
                <w:szCs w:val="19"/>
              </w:rPr>
              <w:t xml:space="preserve">Date issued</w:t>
            </w:r>
          </w:p>
        </w:tc>
        <w:tc>
          <w:tcPr>
            <w:tcW w:type="dxa" w:w="6760"/>
            <w:tcMar>
              <w:top w:type="dxa" w:w="70"/>
              <w:left w:type="dxa" w:w="110"/>
              <w:bottom w:type="dxa" w:w="70"/>
              <w:right w:type="dxa" w:w="110"/>
            </w:tcMar>
          </w:tcPr>
          <w:p>
            <w:r>
              <w:rPr>
                <w:b w:val="false"/>
                <w:bCs w:val="false"/>
                <w:sz w:val="19"/>
                <w:szCs w:val="19"/>
              </w:rPr>
              <w:t xml:space="preserve">September 2026</w:t>
            </w:r>
          </w:p>
        </w:tc>
      </w:tr>
      <w:tr>
        <w:tc>
          <w:tcPr>
            <w:tcW w:type="dxa" w:w="2600"/>
            <w:tcMar>
              <w:top w:type="dxa" w:w="70"/>
              <w:left w:type="dxa" w:w="110"/>
              <w:bottom w:type="dxa" w:w="70"/>
              <w:right w:type="dxa" w:w="110"/>
            </w:tcMar>
          </w:tcPr>
          <w:p>
            <w:r>
              <w:rPr>
                <w:b w:val="false"/>
                <w:bCs w:val="false"/>
                <w:sz w:val="19"/>
                <w:szCs w:val="19"/>
              </w:rPr>
              <w:t xml:space="preserve">Source systems</w:t>
            </w:r>
          </w:p>
        </w:tc>
        <w:tc>
          <w:tcPr>
            <w:tcW w:type="dxa" w:w="6760"/>
            <w:tcMar>
              <w:top w:type="dxa" w:w="70"/>
              <w:left w:type="dxa" w:w="110"/>
              <w:bottom w:type="dxa" w:w="70"/>
              <w:right w:type="dxa" w:w="110"/>
            </w:tcMar>
          </w:tcPr>
          <w:p>
            <w:r>
              <w:rPr>
                <w:b w:val="false"/>
                <w:bCs w:val="false"/>
                <w:sz w:val="19"/>
                <w:szCs w:val="19"/>
              </w:rPr>
              <w:t xml:space="preserve">HR.net (HR master data), MiraclePay (payroll)</w:t>
            </w:r>
          </w:p>
        </w:tc>
      </w:tr>
      <w:tr>
        <w:tc>
          <w:tcPr>
            <w:tcW w:type="dxa" w:w="2600"/>
            <w:tcMar>
              <w:top w:type="dxa" w:w="70"/>
              <w:left w:type="dxa" w:w="110"/>
              <w:bottom w:type="dxa" w:w="70"/>
              <w:right w:type="dxa" w:w="110"/>
            </w:tcMar>
          </w:tcPr>
          <w:p>
            <w:r>
              <w:rPr>
                <w:b w:val="false"/>
                <w:bCs w:val="false"/>
                <w:sz w:val="19"/>
                <w:szCs w:val="19"/>
              </w:rPr>
              <w:t xml:space="preserve">Target system</w:t>
            </w:r>
          </w:p>
        </w:tc>
        <w:tc>
          <w:tcPr>
            <w:tcW w:type="dxa" w:w="6760"/>
            <w:tcMar>
              <w:top w:type="dxa" w:w="70"/>
              <w:left w:type="dxa" w:w="110"/>
              <w:bottom w:type="dxa" w:w="70"/>
              <w:right w:type="dxa" w:w="110"/>
            </w:tcMar>
          </w:tcPr>
          <w:p>
            <w:r>
              <w:rPr>
                <w:b w:val="false"/>
                <w:bCs w:val="false"/>
                <w:sz w:val="19"/>
                <w:szCs w:val="19"/>
              </w:rPr>
              <w:t xml:space="preserve">SAP HCM</w:t>
            </w:r>
          </w:p>
        </w:tc>
      </w:tr>
      <w:tr>
        <w:tc>
          <w:tcPr>
            <w:tcW w:type="dxa" w:w="2600"/>
            <w:tcMar>
              <w:top w:type="dxa" w:w="70"/>
              <w:left w:type="dxa" w:w="110"/>
              <w:bottom w:type="dxa" w:w="70"/>
              <w:right w:type="dxa" w:w="110"/>
            </w:tcMar>
          </w:tcPr>
          <w:p>
            <w:r>
              <w:rPr>
                <w:b w:val="false"/>
                <w:bCs w:val="false"/>
                <w:sz w:val="19"/>
                <w:szCs w:val="19"/>
              </w:rPr>
              <w:t xml:space="preserve">Population</w:t>
            </w:r>
          </w:p>
        </w:tc>
        <w:tc>
          <w:tcPr>
            <w:tcW w:type="dxa" w:w="6760"/>
            <w:tcMar>
              <w:top w:type="dxa" w:w="70"/>
              <w:left w:type="dxa" w:w="110"/>
              <w:bottom w:type="dxa" w:w="70"/>
              <w:right w:type="dxa" w:w="110"/>
            </w:tcMar>
          </w:tcPr>
          <w:p>
            <w:r>
              <w:rPr>
                <w:b w:val="false"/>
                <w:bCs w:val="false"/>
                <w:sz w:val="19"/>
                <w:szCs w:val="19"/>
              </w:rPr>
              <w:t xml:space="preserve">Approximately 2,300 employee records</w:t>
            </w:r>
          </w:p>
        </w:tc>
      </w:tr>
      <w:tr>
        <w:tc>
          <w:tcPr>
            <w:tcW w:type="dxa" w:w="2600"/>
            <w:tcMar>
              <w:top w:type="dxa" w:w="70"/>
              <w:left w:type="dxa" w:w="110"/>
              <w:bottom w:type="dxa" w:w="70"/>
              <w:right w:type="dxa" w:w="110"/>
            </w:tcMar>
          </w:tcPr>
          <w:p>
            <w:r>
              <w:rPr>
                <w:b w:val="false"/>
                <w:bCs w:val="false"/>
                <w:sz w:val="19"/>
                <w:szCs w:val="19"/>
              </w:rPr>
              <w:t xml:space="preserve">Related artefacts</w:t>
            </w:r>
          </w:p>
        </w:tc>
        <w:tc>
          <w:tcPr>
            <w:tcW w:type="dxa" w:w="6760"/>
            <w:tcMar>
              <w:top w:type="dxa" w:w="70"/>
              <w:left w:type="dxa" w:w="110"/>
              <w:bottom w:type="dxa" w:w="70"/>
              <w:right w:type="dxa" w:w="110"/>
            </w:tcMar>
          </w:tcPr>
          <w:p>
            <w:r>
              <w:rPr>
                <w:b w:val="false"/>
                <w:bCs w:val="false"/>
                <w:sz w:val="19"/>
                <w:szCs w:val="19"/>
              </w:rPr>
              <w:t xml:space="preserve">config/mapping_specification.yaml (machine-readable mapping)</w:t>
            </w:r>
          </w:p>
        </w:tc>
      </w:tr>
      <w:tr>
        <w:tc>
          <w:tcPr>
            <w:tcW w:type="dxa" w:w="2600"/>
            <w:tcMar>
              <w:top w:type="dxa" w:w="70"/>
              <w:left w:type="dxa" w:w="110"/>
              <w:bottom w:type="dxa" w:w="70"/>
              <w:right w:type="dxa" w:w="110"/>
            </w:tcMar>
          </w:tcPr>
          <w:p>
            <w:r>
              <w:rPr>
                <w:b w:val="false"/>
                <w:bCs w:val="false"/>
                <w:sz w:val="19"/>
                <w:szCs w:val="19"/>
              </w:rPr>
              <w:t xml:space="preserve">Distribution</w:t>
            </w:r>
          </w:p>
        </w:tc>
        <w:tc>
          <w:tcPr>
            <w:tcW w:type="dxa" w:w="6760"/>
            <w:tcMar>
              <w:top w:type="dxa" w:w="70"/>
              <w:left w:type="dxa" w:w="110"/>
              <w:bottom w:type="dxa" w:w="70"/>
              <w:right w:type="dxa" w:w="110"/>
            </w:tcMar>
          </w:tcPr>
          <w:p>
            <w:r>
              <w:rPr>
                <w:b w:val="false"/>
                <w:bCs w:val="false"/>
                <w:sz w:val="19"/>
                <w:szCs w:val="19"/>
              </w:rPr>
              <w:t xml:space="preserve">HR Lead, Payroll Manager, Finance Business Partner, SAP Functional Lead, Programme Manager</w:t>
            </w:r>
          </w:p>
        </w:tc>
      </w:tr>
    </w:tbl>
    <w:p>
      <w:pPr>
        <w:spacing w:after="160"/>
      </w:pPr>
      <w:r>
        <w:rPr>
          <w:sz w:val="14"/>
          <w:szCs w:val="14"/>
        </w:rPr>
        <w:t xml:space="preserve"/>
      </w:r>
    </w:p>
    <w:p>
      <w:pPr>
        <w:spacing w:after="130" w:line="290"/>
      </w:pPr>
      <w:r>
        <w:rPr>
          <w:sz w:val="21"/>
          <w:szCs w:val="21"/>
        </w:rPr>
        <w:t xml:space="preserve">This document is the authoritative statement of how employee data held in HR.net and MiraclePay will be transformed and loaded into SAP HCM. It records the mapping rules, the decisions taken where the sources conflict, the assumptions applied where source data is incomplete, and the matters that remain open.</w:t>
      </w:r>
    </w:p>
    <w:p>
      <w:pPr>
        <w:spacing w:after="130" w:line="290"/>
      </w:pPr>
      <w:r>
        <w:rPr>
          <w:sz w:val="21"/>
          <w:szCs w:val="21"/>
        </w:rPr>
        <w:t xml:space="preserve">It requires business sign-off before the first dress rehearsal. Section 10 lists the open issues that must be resolved, and Section 11 records sign-off.</w:t>
      </w:r>
    </w:p>
    <w:p>
      <w:r>
        <w:br w:type="page"/>
      </w:r>
    </w:p>
    <w:p>
      <w:pPr>
        <w:pStyle w:val="Heading1"/>
        <w:spacing w:after="160" w:before="360"/>
      </w:pPr>
      <w:r>
        <w:t xml:space="preserve">1. Purpose and scope</w:t>
      </w:r>
    </w:p>
    <w:p>
      <w:pPr>
        <w:pStyle w:val="Heading2"/>
        <w:spacing w:after="110" w:before="260"/>
      </w:pPr>
      <w:r>
        <w:t xml:space="preserve">1.1 Purpose</w:t>
      </w:r>
    </w:p>
    <w:p>
      <w:pPr>
        <w:spacing w:after="130" w:line="290"/>
      </w:pPr>
      <w:r>
        <w:rPr>
          <w:sz w:val="21"/>
          <w:szCs w:val="21"/>
        </w:rPr>
        <w:t xml:space="preserve">This specification defines, at field level, how HR and payroll data is mapped from two legacy systems into SAP HCM. It serves three audiences. For the migration team it is the build instruction. For the business it is the statement of what will and will not carry across, requiring their agreement. For programme governance it is the evidence that the mapping was designed deliberately rather than discovered during testing.</w:t>
      </w:r>
    </w:p>
    <w:p>
      <w:pPr>
        <w:spacing w:after="130" w:line="290"/>
      </w:pPr>
      <w:r>
        <w:rPr>
          <w:sz w:val="21"/>
          <w:szCs w:val="21"/>
        </w:rPr>
        <w:t xml:space="preserve">Every mapping rule described here has a corresponding entry in the machine-readable specification held at config/mapping_specification.yaml. The transformation code reads that file directly, so the specification and the implementation cannot drift apart.</w:t>
      </w:r>
    </w:p>
    <w:p>
      <w:pPr>
        <w:pStyle w:val="Heading2"/>
        <w:spacing w:after="110" w:before="260"/>
      </w:pPr>
      <w:r>
        <w:t xml:space="preserve">1.2 Scope</w:t>
      </w:r>
    </w:p>
    <w:p>
      <w:pPr>
        <w:spacing w:after="130" w:line="290"/>
      </w:pPr>
      <w:r>
        <w:rPr>
          <w:sz w:val="21"/>
          <w:szCs w:val="21"/>
        </w:rPr>
        <w:t xml:space="preserve">Six SAP infotypes are in scope. The selection covers identity, organisational assignment, pay and payment, which together constitute the minimum required for payroll to run correctly at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shd w:fill="DCE3EC" w:val="clear"/>
            <w:tcMar>
              <w:top w:type="dxa" w:w="70"/>
              <w:left w:type="dxa" w:w="110"/>
              <w:bottom w:type="dxa" w:w="70"/>
              <w:right w:type="dxa" w:w="110"/>
            </w:tcMar>
          </w:tcPr>
          <w:p>
            <w:r>
              <w:rPr>
                <w:b/>
                <w:bCs/>
                <w:sz w:val="19"/>
                <w:szCs w:val="19"/>
              </w:rPr>
              <w:t xml:space="preserve">Infotype</w:t>
            </w:r>
          </w:p>
        </w:tc>
        <w:tc>
          <w:tcPr>
            <w:tcW w:type="dxa" w:w="2400"/>
            <w:shd w:fill="DCE3EC" w:val="clear"/>
            <w:tcMar>
              <w:top w:type="dxa" w:w="70"/>
              <w:left w:type="dxa" w:w="110"/>
              <w:bottom w:type="dxa" w:w="70"/>
              <w:right w:type="dxa" w:w="110"/>
            </w:tcMar>
          </w:tcPr>
          <w:p>
            <w:r>
              <w:rPr>
                <w:b/>
                <w:bCs/>
                <w:sz w:val="19"/>
                <w:szCs w:val="19"/>
              </w:rPr>
              <w:t xml:space="preserve">Name</w:t>
            </w:r>
          </w:p>
        </w:tc>
        <w:tc>
          <w:tcPr>
            <w:tcW w:type="dxa" w:w="5760"/>
            <w:shd w:fill="DCE3EC" w:val="clear"/>
            <w:tcMar>
              <w:top w:type="dxa" w:w="70"/>
              <w:left w:type="dxa" w:w="110"/>
              <w:bottom w:type="dxa" w:w="70"/>
              <w:right w:type="dxa" w:w="110"/>
            </w:tcMar>
          </w:tcPr>
          <w:p>
            <w:r>
              <w:rPr>
                <w:b/>
                <w:bCs/>
                <w:sz w:val="19"/>
                <w:szCs w:val="19"/>
              </w:rPr>
              <w:t xml:space="preserve">Rationale for inclusion</w:t>
            </w:r>
          </w:p>
        </w:tc>
      </w:tr>
      <w:tr>
        <w:tc>
          <w:tcPr>
            <w:tcW w:type="dxa" w:w="1200"/>
            <w:tcMar>
              <w:top w:type="dxa" w:w="70"/>
              <w:left w:type="dxa" w:w="110"/>
              <w:bottom w:type="dxa" w:w="70"/>
              <w:right w:type="dxa" w:w="110"/>
            </w:tcMar>
          </w:tcPr>
          <w:p>
            <w:r>
              <w:rPr>
                <w:b w:val="false"/>
                <w:bCs w:val="false"/>
                <w:sz w:val="19"/>
                <w:szCs w:val="19"/>
              </w:rPr>
              <w:t xml:space="preserve">PA0000</w:t>
            </w:r>
          </w:p>
        </w:tc>
        <w:tc>
          <w:tcPr>
            <w:tcW w:type="dxa" w:w="2400"/>
            <w:tcMar>
              <w:top w:type="dxa" w:w="70"/>
              <w:left w:type="dxa" w:w="110"/>
              <w:bottom w:type="dxa" w:w="70"/>
              <w:right w:type="dxa" w:w="110"/>
            </w:tcMar>
          </w:tcPr>
          <w:p>
            <w:r>
              <w:rPr>
                <w:b w:val="false"/>
                <w:bCs w:val="false"/>
                <w:sz w:val="19"/>
                <w:szCs w:val="19"/>
              </w:rPr>
              <w:t xml:space="preserve">Actions</w:t>
            </w:r>
          </w:p>
        </w:tc>
        <w:tc>
          <w:tcPr>
            <w:tcW w:type="dxa" w:w="5760"/>
            <w:tcMar>
              <w:top w:type="dxa" w:w="70"/>
              <w:left w:type="dxa" w:w="110"/>
              <w:bottom w:type="dxa" w:w="70"/>
              <w:right w:type="dxa" w:w="110"/>
            </w:tcMar>
          </w:tcPr>
          <w:p>
            <w:r>
              <w:rPr>
                <w:b w:val="false"/>
                <w:bCs w:val="false"/>
                <w:sz w:val="19"/>
                <w:szCs w:val="19"/>
              </w:rPr>
              <w:t xml:space="preserve">Mandatory. Records the employment lifecycle. Every other infotype record must fall within a period covered by an action.</w:t>
            </w:r>
          </w:p>
        </w:tc>
      </w:tr>
      <w:tr>
        <w:tc>
          <w:tcPr>
            <w:tcW w:type="dxa" w:w="1200"/>
            <w:tcMar>
              <w:top w:type="dxa" w:w="70"/>
              <w:left w:type="dxa" w:w="110"/>
              <w:bottom w:type="dxa" w:w="70"/>
              <w:right w:type="dxa" w:w="110"/>
            </w:tcMar>
          </w:tcPr>
          <w:p>
            <w:r>
              <w:rPr>
                <w:b w:val="false"/>
                <w:bCs w:val="false"/>
                <w:sz w:val="19"/>
                <w:szCs w:val="19"/>
              </w:rPr>
              <w:t xml:space="preserve">PA0001</w:t>
            </w:r>
          </w:p>
        </w:tc>
        <w:tc>
          <w:tcPr>
            <w:tcW w:type="dxa" w:w="2400"/>
            <w:tcMar>
              <w:top w:type="dxa" w:w="70"/>
              <w:left w:type="dxa" w:w="110"/>
              <w:bottom w:type="dxa" w:w="70"/>
              <w:right w:type="dxa" w:w="110"/>
            </w:tcMar>
          </w:tcPr>
          <w:p>
            <w:r>
              <w:rPr>
                <w:b w:val="false"/>
                <w:bCs w:val="false"/>
                <w:sz w:val="19"/>
                <w:szCs w:val="19"/>
              </w:rPr>
              <w:t xml:space="preserve">Organisational Assignment</w:t>
            </w:r>
          </w:p>
        </w:tc>
        <w:tc>
          <w:tcPr>
            <w:tcW w:type="dxa" w:w="5760"/>
            <w:tcMar>
              <w:top w:type="dxa" w:w="70"/>
              <w:left w:type="dxa" w:w="110"/>
              <w:bottom w:type="dxa" w:w="70"/>
              <w:right w:type="dxa" w:w="110"/>
            </w:tcMar>
          </w:tcPr>
          <w:p>
            <w:r>
              <w:rPr>
                <w:b w:val="false"/>
                <w:bCs w:val="false"/>
                <w:sz w:val="19"/>
                <w:szCs w:val="19"/>
              </w:rPr>
              <w:t xml:space="preserve">Mandatory. Company code, cost centre, employee group. Determines where payroll cost posts.</w:t>
            </w:r>
          </w:p>
        </w:tc>
      </w:tr>
      <w:tr>
        <w:tc>
          <w:tcPr>
            <w:tcW w:type="dxa" w:w="1200"/>
            <w:tcMar>
              <w:top w:type="dxa" w:w="70"/>
              <w:left w:type="dxa" w:w="110"/>
              <w:bottom w:type="dxa" w:w="70"/>
              <w:right w:type="dxa" w:w="110"/>
            </w:tcMar>
          </w:tcPr>
          <w:p>
            <w:r>
              <w:rPr>
                <w:b w:val="false"/>
                <w:bCs w:val="false"/>
                <w:sz w:val="19"/>
                <w:szCs w:val="19"/>
              </w:rPr>
              <w:t xml:space="preserve">PA0002</w:t>
            </w:r>
          </w:p>
        </w:tc>
        <w:tc>
          <w:tcPr>
            <w:tcW w:type="dxa" w:w="2400"/>
            <w:tcMar>
              <w:top w:type="dxa" w:w="70"/>
              <w:left w:type="dxa" w:w="110"/>
              <w:bottom w:type="dxa" w:w="70"/>
              <w:right w:type="dxa" w:w="110"/>
            </w:tcMar>
          </w:tcPr>
          <w:p>
            <w:r>
              <w:rPr>
                <w:b w:val="false"/>
                <w:bCs w:val="false"/>
                <w:sz w:val="19"/>
                <w:szCs w:val="19"/>
              </w:rPr>
              <w:t xml:space="preserve">Personal Data</w:t>
            </w:r>
          </w:p>
        </w:tc>
        <w:tc>
          <w:tcPr>
            <w:tcW w:type="dxa" w:w="5760"/>
            <w:tcMar>
              <w:top w:type="dxa" w:w="70"/>
              <w:left w:type="dxa" w:w="110"/>
              <w:bottom w:type="dxa" w:w="70"/>
              <w:right w:type="dxa" w:w="110"/>
            </w:tcMar>
          </w:tcPr>
          <w:p>
            <w:r>
              <w:rPr>
                <w:b w:val="false"/>
                <w:bCs w:val="false"/>
                <w:sz w:val="19"/>
                <w:szCs w:val="19"/>
              </w:rPr>
              <w:t xml:space="preserve">Mandatory. Identity, date of birth, National Insurance number. Required for HMRC submission.</w:t>
            </w:r>
          </w:p>
        </w:tc>
      </w:tr>
      <w:tr>
        <w:tc>
          <w:tcPr>
            <w:tcW w:type="dxa" w:w="1200"/>
            <w:tcMar>
              <w:top w:type="dxa" w:w="70"/>
              <w:left w:type="dxa" w:w="110"/>
              <w:bottom w:type="dxa" w:w="70"/>
              <w:right w:type="dxa" w:w="110"/>
            </w:tcMar>
          </w:tcPr>
          <w:p>
            <w:r>
              <w:rPr>
                <w:b w:val="false"/>
                <w:bCs w:val="false"/>
                <w:sz w:val="19"/>
                <w:szCs w:val="19"/>
              </w:rPr>
              <w:t xml:space="preserve">PA0006</w:t>
            </w:r>
          </w:p>
        </w:tc>
        <w:tc>
          <w:tcPr>
            <w:tcW w:type="dxa" w:w="2400"/>
            <w:tcMar>
              <w:top w:type="dxa" w:w="70"/>
              <w:left w:type="dxa" w:w="110"/>
              <w:bottom w:type="dxa" w:w="70"/>
              <w:right w:type="dxa" w:w="110"/>
            </w:tcMar>
          </w:tcPr>
          <w:p>
            <w:r>
              <w:rPr>
                <w:b w:val="false"/>
                <w:bCs w:val="false"/>
                <w:sz w:val="19"/>
                <w:szCs w:val="19"/>
              </w:rPr>
              <w:t xml:space="preserve">Addresses</w:t>
            </w:r>
          </w:p>
        </w:tc>
        <w:tc>
          <w:tcPr>
            <w:tcW w:type="dxa" w:w="5760"/>
            <w:tcMar>
              <w:top w:type="dxa" w:w="70"/>
              <w:left w:type="dxa" w:w="110"/>
              <w:bottom w:type="dxa" w:w="70"/>
              <w:right w:type="dxa" w:w="110"/>
            </w:tcMar>
          </w:tcPr>
          <w:p>
            <w:r>
              <w:rPr>
                <w:b w:val="false"/>
                <w:bCs w:val="false"/>
                <w:sz w:val="19"/>
                <w:szCs w:val="19"/>
              </w:rPr>
              <w:t xml:space="preserve">Required for payslips, P60s and statutory correspondence.</w:t>
            </w:r>
          </w:p>
        </w:tc>
      </w:tr>
      <w:tr>
        <w:tc>
          <w:tcPr>
            <w:tcW w:type="dxa" w:w="1200"/>
            <w:tcMar>
              <w:top w:type="dxa" w:w="70"/>
              <w:left w:type="dxa" w:w="110"/>
              <w:bottom w:type="dxa" w:w="70"/>
              <w:right w:type="dxa" w:w="110"/>
            </w:tcMar>
          </w:tcPr>
          <w:p>
            <w:r>
              <w:rPr>
                <w:b w:val="false"/>
                <w:bCs w:val="false"/>
                <w:sz w:val="19"/>
                <w:szCs w:val="19"/>
              </w:rPr>
              <w:t xml:space="preserve">PA0008</w:t>
            </w:r>
          </w:p>
        </w:tc>
        <w:tc>
          <w:tcPr>
            <w:tcW w:type="dxa" w:w="2400"/>
            <w:tcMar>
              <w:top w:type="dxa" w:w="70"/>
              <w:left w:type="dxa" w:w="110"/>
              <w:bottom w:type="dxa" w:w="70"/>
              <w:right w:type="dxa" w:w="110"/>
            </w:tcMar>
          </w:tcPr>
          <w:p>
            <w:r>
              <w:rPr>
                <w:b w:val="false"/>
                <w:bCs w:val="false"/>
                <w:sz w:val="19"/>
                <w:szCs w:val="19"/>
              </w:rPr>
              <w:t xml:space="preserve">Basic Pay</w:t>
            </w:r>
          </w:p>
        </w:tc>
        <w:tc>
          <w:tcPr>
            <w:tcW w:type="dxa" w:w="5760"/>
            <w:tcMar>
              <w:top w:type="dxa" w:w="70"/>
              <w:left w:type="dxa" w:w="110"/>
              <w:bottom w:type="dxa" w:w="70"/>
              <w:right w:type="dxa" w:w="110"/>
            </w:tcMar>
          </w:tcPr>
          <w:p>
            <w:r>
              <w:rPr>
                <w:b w:val="false"/>
                <w:bCs w:val="false"/>
                <w:sz w:val="19"/>
                <w:szCs w:val="19"/>
              </w:rPr>
              <w:t xml:space="preserve">The payroll core. Salary and working capacity. Source of financial reconciliation.</w:t>
            </w:r>
          </w:p>
        </w:tc>
      </w:tr>
      <w:tr>
        <w:tc>
          <w:tcPr>
            <w:tcW w:type="dxa" w:w="1200"/>
            <w:tcMar>
              <w:top w:type="dxa" w:w="70"/>
              <w:left w:type="dxa" w:w="110"/>
              <w:bottom w:type="dxa" w:w="70"/>
              <w:right w:type="dxa" w:w="110"/>
            </w:tcMar>
          </w:tcPr>
          <w:p>
            <w:r>
              <w:rPr>
                <w:b w:val="false"/>
                <w:bCs w:val="false"/>
                <w:sz w:val="19"/>
                <w:szCs w:val="19"/>
              </w:rPr>
              <w:t xml:space="preserve">PA0009</w:t>
            </w:r>
          </w:p>
        </w:tc>
        <w:tc>
          <w:tcPr>
            <w:tcW w:type="dxa" w:w="2400"/>
            <w:tcMar>
              <w:top w:type="dxa" w:w="70"/>
              <w:left w:type="dxa" w:w="110"/>
              <w:bottom w:type="dxa" w:w="70"/>
              <w:right w:type="dxa" w:w="110"/>
            </w:tcMar>
          </w:tcPr>
          <w:p>
            <w:r>
              <w:rPr>
                <w:b w:val="false"/>
                <w:bCs w:val="false"/>
                <w:sz w:val="19"/>
                <w:szCs w:val="19"/>
              </w:rPr>
              <w:t xml:space="preserve">Bank Details</w:t>
            </w:r>
          </w:p>
        </w:tc>
        <w:tc>
          <w:tcPr>
            <w:tcW w:type="dxa" w:w="5760"/>
            <w:tcMar>
              <w:top w:type="dxa" w:w="70"/>
              <w:left w:type="dxa" w:w="110"/>
              <w:bottom w:type="dxa" w:w="70"/>
              <w:right w:type="dxa" w:w="110"/>
            </w:tcMar>
          </w:tcPr>
          <w:p>
            <w:r>
              <w:rPr>
                <w:b w:val="false"/>
                <w:bCs w:val="false"/>
                <w:sz w:val="19"/>
                <w:szCs w:val="19"/>
              </w:rPr>
              <w:t xml:space="preserve">Required for payment. An error here means an employee is not paid.</w:t>
            </w:r>
          </w:p>
        </w:tc>
      </w:tr>
    </w:tbl>
    <w:p>
      <w:pPr>
        <w:spacing w:after="160"/>
      </w:pPr>
      <w:r>
        <w:rPr>
          <w:sz w:val="14"/>
          <w:szCs w:val="14"/>
        </w:rPr>
        <w:t xml:space="preserve"/>
      </w:r>
    </w:p>
    <w:p>
      <w:pPr>
        <w:pStyle w:val="Heading2"/>
        <w:spacing w:after="110" w:before="260"/>
      </w:pPr>
      <w:r>
        <w:t xml:space="preserve">1.3 Out of scope</w:t>
      </w:r>
    </w:p>
    <w:p>
      <w:pPr>
        <w:spacing w:after="130" w:line="290"/>
      </w:pPr>
      <w:r>
        <w:rPr>
          <w:sz w:val="21"/>
          <w:szCs w:val="21"/>
        </w:rPr>
        <w:t xml:space="preserve">The following are explicitly excluded from this migration. Each exclusion is a decision, not an omission, and each carries a consequence the business has been asked to 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tblHeader/>
        </w:trPr>
        <w:tc>
          <w:tcPr>
            <w:tcW w:type="dxa" w:w="1200"/>
            <w:shd w:fill="DCE3EC" w:val="clear"/>
            <w:tcMar>
              <w:top w:type="dxa" w:w="70"/>
              <w:left w:type="dxa" w:w="110"/>
              <w:bottom w:type="dxa" w:w="70"/>
              <w:right w:type="dxa" w:w="110"/>
            </w:tcMar>
          </w:tcPr>
          <w:p>
            <w:r>
              <w:rPr>
                <w:b/>
                <w:bCs/>
                <w:sz w:val="19"/>
                <w:szCs w:val="19"/>
              </w:rPr>
              <w:t xml:space="preserve">Infotype</w:t>
            </w:r>
          </w:p>
        </w:tc>
        <w:tc>
          <w:tcPr>
            <w:tcW w:type="dxa" w:w="2900"/>
            <w:shd w:fill="DCE3EC" w:val="clear"/>
            <w:tcMar>
              <w:top w:type="dxa" w:w="70"/>
              <w:left w:type="dxa" w:w="110"/>
              <w:bottom w:type="dxa" w:w="70"/>
              <w:right w:type="dxa" w:w="110"/>
            </w:tcMar>
          </w:tcPr>
          <w:p>
            <w:r>
              <w:rPr>
                <w:b/>
                <w:bCs/>
                <w:sz w:val="19"/>
                <w:szCs w:val="19"/>
              </w:rPr>
              <w:t xml:space="preserve">Name</w:t>
            </w:r>
          </w:p>
        </w:tc>
        <w:tc>
          <w:tcPr>
            <w:tcW w:type="dxa" w:w="5260"/>
            <w:shd w:fill="DCE3EC" w:val="clear"/>
            <w:tcMar>
              <w:top w:type="dxa" w:w="70"/>
              <w:left w:type="dxa" w:w="110"/>
              <w:bottom w:type="dxa" w:w="70"/>
              <w:right w:type="dxa" w:w="110"/>
            </w:tcMar>
          </w:tcPr>
          <w:p>
            <w:r>
              <w:rPr>
                <w:b/>
                <w:bCs/>
                <w:sz w:val="19"/>
                <w:szCs w:val="19"/>
              </w:rPr>
              <w:t xml:space="preserve">Reason for exclusion</w:t>
            </w:r>
          </w:p>
        </w:tc>
      </w:tr>
      <w:tr>
        <w:tc>
          <w:tcPr>
            <w:tcW w:type="dxa" w:w="1200"/>
            <w:tcMar>
              <w:top w:type="dxa" w:w="70"/>
              <w:left w:type="dxa" w:w="110"/>
              <w:bottom w:type="dxa" w:w="70"/>
              <w:right w:type="dxa" w:w="110"/>
            </w:tcMar>
          </w:tcPr>
          <w:p>
            <w:r>
              <w:rPr>
                <w:b w:val="false"/>
                <w:bCs w:val="false"/>
                <w:sz w:val="19"/>
                <w:szCs w:val="19"/>
              </w:rPr>
              <w:t xml:space="preserve">PA0007</w:t>
            </w:r>
          </w:p>
        </w:tc>
        <w:tc>
          <w:tcPr>
            <w:tcW w:type="dxa" w:w="2900"/>
            <w:tcMar>
              <w:top w:type="dxa" w:w="70"/>
              <w:left w:type="dxa" w:w="110"/>
              <w:bottom w:type="dxa" w:w="70"/>
              <w:right w:type="dxa" w:w="110"/>
            </w:tcMar>
          </w:tcPr>
          <w:p>
            <w:r>
              <w:rPr>
                <w:b w:val="false"/>
                <w:bCs w:val="false"/>
                <w:sz w:val="19"/>
                <w:szCs w:val="19"/>
              </w:rPr>
              <w:t xml:space="preserve">Planned Working Time</w:t>
            </w:r>
          </w:p>
        </w:tc>
        <w:tc>
          <w:tcPr>
            <w:tcW w:type="dxa" w:w="5260"/>
            <w:tcMar>
              <w:top w:type="dxa" w:w="70"/>
              <w:left w:type="dxa" w:w="110"/>
              <w:bottom w:type="dxa" w:w="70"/>
              <w:right w:type="dxa" w:w="110"/>
            </w:tcMar>
          </w:tcPr>
          <w:p>
            <w:r>
              <w:rPr>
                <w:b w:val="false"/>
                <w:bCs w:val="false"/>
                <w:sz w:val="19"/>
                <w:szCs w:val="19"/>
              </w:rPr>
              <w:t xml:space="preserve">Time management is a phase two workstream. Working capacity is carried on PA0008 for payroll purposes.</w:t>
            </w:r>
          </w:p>
        </w:tc>
      </w:tr>
      <w:tr>
        <w:tc>
          <w:tcPr>
            <w:tcW w:type="dxa" w:w="1200"/>
            <w:tcMar>
              <w:top w:type="dxa" w:w="70"/>
              <w:left w:type="dxa" w:w="110"/>
              <w:bottom w:type="dxa" w:w="70"/>
              <w:right w:type="dxa" w:w="110"/>
            </w:tcMar>
          </w:tcPr>
          <w:p>
            <w:r>
              <w:rPr>
                <w:b w:val="false"/>
                <w:bCs w:val="false"/>
                <w:sz w:val="19"/>
                <w:szCs w:val="19"/>
              </w:rPr>
              <w:t xml:space="preserve">PA0014</w:t>
            </w:r>
          </w:p>
        </w:tc>
        <w:tc>
          <w:tcPr>
            <w:tcW w:type="dxa" w:w="2900"/>
            <w:tcMar>
              <w:top w:type="dxa" w:w="70"/>
              <w:left w:type="dxa" w:w="110"/>
              <w:bottom w:type="dxa" w:w="70"/>
              <w:right w:type="dxa" w:w="110"/>
            </w:tcMar>
          </w:tcPr>
          <w:p>
            <w:r>
              <w:rPr>
                <w:b w:val="false"/>
                <w:bCs w:val="false"/>
                <w:sz w:val="19"/>
                <w:szCs w:val="19"/>
              </w:rPr>
              <w:t xml:space="preserve">Recurring Payments and Deductions</w:t>
            </w:r>
          </w:p>
        </w:tc>
        <w:tc>
          <w:tcPr>
            <w:tcW w:type="dxa" w:w="5260"/>
            <w:tcMar>
              <w:top w:type="dxa" w:w="70"/>
              <w:left w:type="dxa" w:w="110"/>
              <w:bottom w:type="dxa" w:w="70"/>
              <w:right w:type="dxa" w:w="110"/>
            </w:tcMar>
          </w:tcPr>
          <w:p>
            <w:r>
              <w:rPr>
                <w:b w:val="false"/>
                <w:bCs w:val="false"/>
                <w:sz w:val="19"/>
                <w:szCs w:val="19"/>
              </w:rPr>
              <w:t xml:space="preserve">Allowances and deductions are under review by Reward. Values are not yet agreed and cannot be mapped.</w:t>
            </w:r>
          </w:p>
        </w:tc>
      </w:tr>
      <w:tr>
        <w:tc>
          <w:tcPr>
            <w:tcW w:type="dxa" w:w="1200"/>
            <w:tcMar>
              <w:top w:type="dxa" w:w="70"/>
              <w:left w:type="dxa" w:w="110"/>
              <w:bottom w:type="dxa" w:w="70"/>
              <w:right w:type="dxa" w:w="110"/>
            </w:tcMar>
          </w:tcPr>
          <w:p>
            <w:r>
              <w:rPr>
                <w:b w:val="false"/>
                <w:bCs w:val="false"/>
                <w:sz w:val="19"/>
                <w:szCs w:val="19"/>
              </w:rPr>
              <w:t xml:space="preserve">PA0021</w:t>
            </w:r>
          </w:p>
        </w:tc>
        <w:tc>
          <w:tcPr>
            <w:tcW w:type="dxa" w:w="2900"/>
            <w:tcMar>
              <w:top w:type="dxa" w:w="70"/>
              <w:left w:type="dxa" w:w="110"/>
              <w:bottom w:type="dxa" w:w="70"/>
              <w:right w:type="dxa" w:w="110"/>
            </w:tcMar>
          </w:tcPr>
          <w:p>
            <w:r>
              <w:rPr>
                <w:b w:val="false"/>
                <w:bCs w:val="false"/>
                <w:sz w:val="19"/>
                <w:szCs w:val="19"/>
              </w:rPr>
              <w:t xml:space="preserve">Family Members and Dependants</w:t>
            </w:r>
          </w:p>
        </w:tc>
        <w:tc>
          <w:tcPr>
            <w:tcW w:type="dxa" w:w="5260"/>
            <w:tcMar>
              <w:top w:type="dxa" w:w="70"/>
              <w:left w:type="dxa" w:w="110"/>
              <w:bottom w:type="dxa" w:w="70"/>
              <w:right w:type="dxa" w:w="110"/>
            </w:tcMar>
          </w:tcPr>
          <w:p>
            <w:r>
              <w:rPr>
                <w:b w:val="false"/>
                <w:bCs w:val="false"/>
                <w:sz w:val="19"/>
                <w:szCs w:val="19"/>
              </w:rPr>
              <w:t xml:space="preserve">Not required for payroll go-live. Benefits administration remains in the legacy system until phase two.</w:t>
            </w:r>
          </w:p>
        </w:tc>
      </w:tr>
      <w:tr>
        <w:tc>
          <w:tcPr>
            <w:tcW w:type="dxa" w:w="1200"/>
            <w:tcMar>
              <w:top w:type="dxa" w:w="70"/>
              <w:left w:type="dxa" w:w="110"/>
              <w:bottom w:type="dxa" w:w="70"/>
              <w:right w:type="dxa" w:w="110"/>
            </w:tcMar>
          </w:tcPr>
          <w:p>
            <w:r>
              <w:rPr>
                <w:b w:val="false"/>
                <w:bCs w:val="false"/>
                <w:sz w:val="19"/>
                <w:szCs w:val="19"/>
              </w:rPr>
              <w:t xml:space="preserve">PA2001</w:t>
            </w:r>
          </w:p>
        </w:tc>
        <w:tc>
          <w:tcPr>
            <w:tcW w:type="dxa" w:w="2900"/>
            <w:tcMar>
              <w:top w:type="dxa" w:w="70"/>
              <w:left w:type="dxa" w:w="110"/>
              <w:bottom w:type="dxa" w:w="70"/>
              <w:right w:type="dxa" w:w="110"/>
            </w:tcMar>
          </w:tcPr>
          <w:p>
            <w:r>
              <w:rPr>
                <w:b w:val="false"/>
                <w:bCs w:val="false"/>
                <w:sz w:val="19"/>
                <w:szCs w:val="19"/>
              </w:rPr>
              <w:t xml:space="preserve">Absences</w:t>
            </w:r>
          </w:p>
        </w:tc>
        <w:tc>
          <w:tcPr>
            <w:tcW w:type="dxa" w:w="5260"/>
            <w:tcMar>
              <w:top w:type="dxa" w:w="70"/>
              <w:left w:type="dxa" w:w="110"/>
              <w:bottom w:type="dxa" w:w="70"/>
              <w:right w:type="dxa" w:w="110"/>
            </w:tcMar>
          </w:tcPr>
          <w:p>
            <w:r>
              <w:rPr>
                <w:b w:val="false"/>
                <w:bCs w:val="false"/>
                <w:sz w:val="19"/>
                <w:szCs w:val="19"/>
              </w:rPr>
              <w:t xml:space="preserve">Absence history is not migrated. Opening balances are handled outside this migration.</w:t>
            </w:r>
          </w:p>
        </w:tc>
      </w:tr>
    </w:tbl>
    <w:p>
      <w:r>
        <w:br w:type="page"/>
      </w:r>
    </w:p>
    <w:p>
      <w:pPr>
        <w:pStyle w:val="Heading1"/>
        <w:spacing w:after="160" w:before="360"/>
      </w:pPr>
      <w:r>
        <w:t xml:space="preserve">2. Source systems</w:t>
      </w:r>
    </w:p>
    <w:p>
      <w:pPr>
        <w:pStyle w:val="Heading2"/>
        <w:spacing w:after="110" w:before="260"/>
      </w:pPr>
      <w:r>
        <w:t xml:space="preserve">2.1 HR.net</w:t>
      </w:r>
    </w:p>
    <w:p>
      <w:pPr>
        <w:spacing w:after="130" w:line="290"/>
      </w:pPr>
      <w:r>
        <w:rPr>
          <w:sz w:val="21"/>
          <w:szCs w:val="21"/>
        </w:rPr>
        <w:t xml:space="preserve">HR.net is the HR system of record. It holds employee identity, organisational structure, employment dates, addresses and reporting lines. Its primary key is emp_id.</w:t>
      </w:r>
    </w:p>
    <w:p>
      <w:pPr>
        <w:spacing w:after="130" w:line="290"/>
      </w:pPr>
      <w:r>
        <w:rPr>
          <w:b/>
          <w:bCs/>
          <w:sz w:val="21"/>
          <w:szCs w:val="21"/>
        </w:rPr>
        <w:t xml:space="preserve">Critical characteristic: </w:t>
      </w:r>
      <w:r>
        <w:rPr>
          <w:sz w:val="21"/>
          <w:szCs w:val="21"/>
        </w:rPr>
        <w:t xml:space="preserve">HR.net holds current state only. With the exception of hire date, leaver date and last promotion date, no field carries any history. A change overwrites the previous value and the previous value is not retained.</w:t>
      </w:r>
    </w:p>
    <w:p>
      <w:pPr>
        <w:pStyle w:val="Heading2"/>
        <w:spacing w:after="110" w:before="260"/>
      </w:pPr>
      <w:r>
        <w:t xml:space="preserve">2.2 MiraclePay</w:t>
      </w:r>
    </w:p>
    <w:p>
      <w:pPr>
        <w:spacing w:after="130" w:line="290"/>
      </w:pPr>
      <w:r>
        <w:rPr>
          <w:sz w:val="21"/>
          <w:szCs w:val="21"/>
        </w:rPr>
        <w:t xml:space="preserve">MiraclePay is the payroll system. It holds pay records, bank details, tax codes, National Insurance categories and payroll cost centres. Its primary key is payroll_ref.</w:t>
      </w:r>
    </w:p>
    <w:p>
      <w:pPr>
        <w:spacing w:after="130" w:line="290"/>
      </w:pPr>
      <w:r>
        <w:rPr>
          <w:b/>
          <w:bCs/>
          <w:sz w:val="21"/>
          <w:szCs w:val="21"/>
        </w:rPr>
        <w:t xml:space="preserve">Critical characteristic: </w:t>
      </w:r>
      <w:r>
        <w:rPr>
          <w:sz w:val="21"/>
          <w:szCs w:val="21"/>
        </w:rPr>
        <w:t xml:space="preserve">MiraclePay holds current state for master data, but it also holds a monthly payment history covering a fixed window. That history is the only temporal data available anywhere in the source estate, and salary history in SAP must be inferred from it.</w:t>
      </w:r>
    </w:p>
    <w:p>
      <w:pPr>
        <w:pStyle w:val="Heading2"/>
        <w:spacing w:after="110" w:before="260"/>
      </w:pPr>
      <w:r>
        <w:t xml:space="preserve">2.3 The absence of a shared key</w:t>
      </w:r>
    </w:p>
    <w:p>
      <w:pPr>
        <w:spacing w:after="130" w:line="290"/>
      </w:pPr>
      <w:r>
        <w:rPr>
          <w:sz w:val="21"/>
          <w:szCs w:val="21"/>
        </w:rPr>
        <w:t xml:space="preserve">The two systems share no common identifier. HR.net uses emp_id, MiraclePay uses payroll_ref, and neither is recorded in the other. The only field present in both is the National Insurance number.</w:t>
      </w:r>
    </w:p>
    <w:p>
      <w:pPr>
        <w:spacing w:after="130" w:line="290"/>
      </w:pPr>
      <w:r>
        <w:rPr>
          <w:sz w:val="21"/>
          <w:szCs w:val="21"/>
        </w:rPr>
        <w:t xml:space="preserve">This is the single largest risk in the migration. National Insurance numbers are keyed by hand, formatted inconsistently, and occasionally wrong. An employee who fails to match is either a person who will not be paid, or a duplicate record created in the target. The match rate is therefore the first metric reported to the programme board at each dress rehearsal.</w:t>
      </w:r>
    </w:p>
    <w:p>
      <w:r>
        <w:br w:type="page"/>
      </w:r>
    </w:p>
    <w:p>
      <w:pPr>
        <w:pStyle w:val="Heading1"/>
        <w:spacing w:after="160" w:before="360"/>
      </w:pPr>
      <w:r>
        <w:t xml:space="preserve">3. Key matching strategy</w:t>
      </w:r>
    </w:p>
    <w:p>
      <w:pPr>
        <w:spacing w:after="130" w:line="290"/>
      </w:pPr>
      <w:r>
        <w:rPr>
          <w:sz w:val="21"/>
          <w:szCs w:val="21"/>
        </w:rPr>
        <w:t xml:space="preserve">Employees are matched between the two sources using a three-level strategy. Each level is attempted in turn; a record matched at an earlier level is not reconsidered.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560"/>
        <w:gridCol w:w="1300"/>
        <w:gridCol w:w="1600"/>
      </w:tblGrid>
      <w:tr>
        <w:trPr>
          <w:tblHeader/>
        </w:trPr>
        <w:tc>
          <w:tcPr>
            <w:tcW w:type="dxa" w:w="700"/>
            <w:shd w:fill="DCE3EC" w:val="clear"/>
            <w:tcMar>
              <w:top w:type="dxa" w:w="70"/>
              <w:left w:type="dxa" w:w="110"/>
              <w:bottom w:type="dxa" w:w="70"/>
              <w:right w:type="dxa" w:w="110"/>
            </w:tcMar>
          </w:tcPr>
          <w:p>
            <w:r>
              <w:rPr>
                <w:b/>
                <w:bCs/>
                <w:sz w:val="19"/>
                <w:szCs w:val="19"/>
              </w:rPr>
              <w:t xml:space="preserve">Level</w:t>
            </w:r>
          </w:p>
        </w:tc>
        <w:tc>
          <w:tcPr>
            <w:tcW w:type="dxa" w:w="1200"/>
            <w:shd w:fill="DCE3EC" w:val="clear"/>
            <w:tcMar>
              <w:top w:type="dxa" w:w="70"/>
              <w:left w:type="dxa" w:w="110"/>
              <w:bottom w:type="dxa" w:w="70"/>
              <w:right w:type="dxa" w:w="110"/>
            </w:tcMar>
          </w:tcPr>
          <w:p>
            <w:r>
              <w:rPr>
                <w:b/>
                <w:bCs/>
                <w:sz w:val="19"/>
                <w:szCs w:val="19"/>
              </w:rPr>
              <w:t xml:space="preserve">Method</w:t>
            </w:r>
          </w:p>
        </w:tc>
        <w:tc>
          <w:tcPr>
            <w:tcW w:type="dxa" w:w="4560"/>
            <w:shd w:fill="DCE3EC" w:val="clear"/>
            <w:tcMar>
              <w:top w:type="dxa" w:w="70"/>
              <w:left w:type="dxa" w:w="110"/>
              <w:bottom w:type="dxa" w:w="70"/>
              <w:right w:type="dxa" w:w="110"/>
            </w:tcMar>
          </w:tcPr>
          <w:p>
            <w:r>
              <w:rPr>
                <w:b/>
                <w:bCs/>
                <w:sz w:val="19"/>
                <w:szCs w:val="19"/>
              </w:rPr>
              <w:t xml:space="preserve">Criteria</w:t>
            </w:r>
          </w:p>
        </w:tc>
        <w:tc>
          <w:tcPr>
            <w:tcW w:type="dxa" w:w="1300"/>
            <w:shd w:fill="DCE3EC" w:val="clear"/>
            <w:tcMar>
              <w:top w:type="dxa" w:w="70"/>
              <w:left w:type="dxa" w:w="110"/>
              <w:bottom w:type="dxa" w:w="70"/>
              <w:right w:type="dxa" w:w="110"/>
            </w:tcMar>
          </w:tcPr>
          <w:p>
            <w:r>
              <w:rPr>
                <w:b/>
                <w:bCs/>
                <w:sz w:val="19"/>
                <w:szCs w:val="19"/>
              </w:rPr>
              <w:t xml:space="preserve">Confidence</w:t>
            </w:r>
          </w:p>
        </w:tc>
        <w:tc>
          <w:tcPr>
            <w:tcW w:type="dxa" w:w="1600"/>
            <w:shd w:fill="DCE3EC" w:val="clear"/>
            <w:tcMar>
              <w:top w:type="dxa" w:w="70"/>
              <w:left w:type="dxa" w:w="110"/>
              <w:bottom w:type="dxa" w:w="70"/>
              <w:right w:type="dxa" w:w="110"/>
            </w:tcMar>
          </w:tcPr>
          <w:p>
            <w:r>
              <w:rPr>
                <w:b/>
                <w:bCs/>
                <w:sz w:val="19"/>
                <w:szCs w:val="19"/>
              </w:rPr>
              <w:t xml:space="preserve">Manual review</w:t>
            </w:r>
          </w:p>
        </w:tc>
      </w:tr>
      <w:tr>
        <w:tc>
          <w:tcPr>
            <w:tcW w:type="dxa" w:w="700"/>
            <w:tcMar>
              <w:top w:type="dxa" w:w="70"/>
              <w:left w:type="dxa" w:w="110"/>
              <w:bottom w:type="dxa" w:w="70"/>
              <w:right w:type="dxa" w:w="110"/>
            </w:tcMar>
          </w:tcPr>
          <w:p>
            <w:r>
              <w:rPr>
                <w:b w:val="false"/>
                <w:bCs w:val="false"/>
                <w:sz w:val="19"/>
                <w:szCs w:val="19"/>
              </w:rPr>
              <w:t xml:space="preserve">1</w:t>
            </w:r>
          </w:p>
        </w:tc>
        <w:tc>
          <w:tcPr>
            <w:tcW w:type="dxa" w:w="1200"/>
            <w:tcMar>
              <w:top w:type="dxa" w:w="70"/>
              <w:left w:type="dxa" w:w="110"/>
              <w:bottom w:type="dxa" w:w="70"/>
              <w:right w:type="dxa" w:w="110"/>
            </w:tcMar>
          </w:tcPr>
          <w:p>
            <w:r>
              <w:rPr>
                <w:b w:val="false"/>
                <w:bCs w:val="false"/>
                <w:sz w:val="19"/>
                <w:szCs w:val="19"/>
              </w:rPr>
              <w:t xml:space="preserve">Exact</w:t>
            </w:r>
          </w:p>
        </w:tc>
        <w:tc>
          <w:tcPr>
            <w:tcW w:type="dxa" w:w="4560"/>
            <w:tcMar>
              <w:top w:type="dxa" w:w="70"/>
              <w:left w:type="dxa" w:w="110"/>
              <w:bottom w:type="dxa" w:w="70"/>
              <w:right w:type="dxa" w:w="110"/>
            </w:tcMar>
          </w:tcPr>
          <w:p>
            <w:r>
              <w:rPr>
                <w:b w:val="false"/>
                <w:bCs w:val="false"/>
                <w:sz w:val="19"/>
                <w:szCs w:val="19"/>
              </w:rPr>
              <w:t xml:space="preserve">Normalised National Insurance number matches exactly. Normalisation is uppercase with all whitespace and punctuation removed.</w:t>
            </w:r>
          </w:p>
        </w:tc>
        <w:tc>
          <w:tcPr>
            <w:tcW w:type="dxa" w:w="1300"/>
            <w:tcMar>
              <w:top w:type="dxa" w:w="70"/>
              <w:left w:type="dxa" w:w="110"/>
              <w:bottom w:type="dxa" w:w="70"/>
              <w:right w:type="dxa" w:w="110"/>
            </w:tcMar>
          </w:tcPr>
          <w:p>
            <w:r>
              <w:rPr>
                <w:b w:val="false"/>
                <w:bCs w:val="false"/>
                <w:sz w:val="19"/>
                <w:szCs w:val="19"/>
              </w:rPr>
              <w:t xml:space="preserve">EXACT</w:t>
            </w:r>
          </w:p>
        </w:tc>
        <w:tc>
          <w:tcPr>
            <w:tcW w:type="dxa" w:w="1600"/>
            <w:tcMar>
              <w:top w:type="dxa" w:w="70"/>
              <w:left w:type="dxa" w:w="110"/>
              <w:bottom w:type="dxa" w:w="70"/>
              <w:right w:type="dxa" w:w="110"/>
            </w:tcMar>
          </w:tcPr>
          <w:p>
            <w:r>
              <w:rPr>
                <w:b w:val="false"/>
                <w:bCs w:val="false"/>
                <w:sz w:val="19"/>
                <w:szCs w:val="19"/>
              </w:rPr>
              <w:t xml:space="preserve">No</w:t>
            </w:r>
          </w:p>
        </w:tc>
      </w:tr>
      <w:tr>
        <w:tc>
          <w:tcPr>
            <w:tcW w:type="dxa" w:w="700"/>
            <w:tcMar>
              <w:top w:type="dxa" w:w="70"/>
              <w:left w:type="dxa" w:w="110"/>
              <w:bottom w:type="dxa" w:w="70"/>
              <w:right w:type="dxa" w:w="110"/>
            </w:tcMar>
          </w:tcPr>
          <w:p>
            <w:r>
              <w:rPr>
                <w:b w:val="false"/>
                <w:bCs w:val="false"/>
                <w:sz w:val="19"/>
                <w:szCs w:val="19"/>
              </w:rPr>
              <w:t xml:space="preserve">2</w:t>
            </w:r>
          </w:p>
        </w:tc>
        <w:tc>
          <w:tcPr>
            <w:tcW w:type="dxa" w:w="1200"/>
            <w:tcMar>
              <w:top w:type="dxa" w:w="70"/>
              <w:left w:type="dxa" w:w="110"/>
              <w:bottom w:type="dxa" w:w="70"/>
              <w:right w:type="dxa" w:w="110"/>
            </w:tcMar>
          </w:tcPr>
          <w:p>
            <w:r>
              <w:rPr>
                <w:b w:val="false"/>
                <w:bCs w:val="false"/>
                <w:sz w:val="19"/>
                <w:szCs w:val="19"/>
              </w:rPr>
              <w:t xml:space="preserve">Fuzzy</w:t>
            </w:r>
          </w:p>
        </w:tc>
        <w:tc>
          <w:tcPr>
            <w:tcW w:type="dxa" w:w="4560"/>
            <w:tcMar>
              <w:top w:type="dxa" w:w="70"/>
              <w:left w:type="dxa" w:w="110"/>
              <w:bottom w:type="dxa" w:w="70"/>
              <w:right w:type="dxa" w:w="110"/>
            </w:tcMar>
          </w:tcPr>
          <w:p>
            <w:r>
              <w:rPr>
                <w:b w:val="false"/>
                <w:bCs w:val="false"/>
                <w:sz w:val="19"/>
                <w:szCs w:val="19"/>
              </w:rPr>
              <w:t xml:space="preserve">Surname matches after case folding, and date of birth matches exactly. Used to recover records where the NI number carries a transcription error.</w:t>
            </w:r>
          </w:p>
        </w:tc>
        <w:tc>
          <w:tcPr>
            <w:tcW w:type="dxa" w:w="1300"/>
            <w:tcMar>
              <w:top w:type="dxa" w:w="70"/>
              <w:left w:type="dxa" w:w="110"/>
              <w:bottom w:type="dxa" w:w="70"/>
              <w:right w:type="dxa" w:w="110"/>
            </w:tcMar>
          </w:tcPr>
          <w:p>
            <w:r>
              <w:rPr>
                <w:b w:val="false"/>
                <w:bCs w:val="false"/>
                <w:sz w:val="19"/>
                <w:szCs w:val="19"/>
              </w:rPr>
              <w:t xml:space="preserve">FUZZY</w:t>
            </w:r>
          </w:p>
        </w:tc>
        <w:tc>
          <w:tcPr>
            <w:tcW w:type="dxa" w:w="1600"/>
            <w:tcMar>
              <w:top w:type="dxa" w:w="70"/>
              <w:left w:type="dxa" w:w="110"/>
              <w:bottom w:type="dxa" w:w="70"/>
              <w:right w:type="dxa" w:w="110"/>
            </w:tcMar>
          </w:tcPr>
          <w:p>
            <w:r>
              <w:rPr>
                <w:b w:val="false"/>
                <w:bCs w:val="false"/>
                <w:sz w:val="19"/>
                <w:szCs w:val="19"/>
              </w:rPr>
              <w:t xml:space="preserve">Yes</w:t>
            </w:r>
          </w:p>
        </w:tc>
      </w:tr>
      <w:tr>
        <w:tc>
          <w:tcPr>
            <w:tcW w:type="dxa" w:w="700"/>
            <w:tcMar>
              <w:top w:type="dxa" w:w="70"/>
              <w:left w:type="dxa" w:w="110"/>
              <w:bottom w:type="dxa" w:w="70"/>
              <w:right w:type="dxa" w:w="110"/>
            </w:tcMar>
          </w:tcPr>
          <w:p>
            <w:r>
              <w:rPr>
                <w:b w:val="false"/>
                <w:bCs w:val="false"/>
                <w:sz w:val="19"/>
                <w:szCs w:val="19"/>
              </w:rPr>
              <w:t xml:space="preserve">3</w:t>
            </w:r>
          </w:p>
        </w:tc>
        <w:tc>
          <w:tcPr>
            <w:tcW w:type="dxa" w:w="1200"/>
            <w:tcMar>
              <w:top w:type="dxa" w:w="70"/>
              <w:left w:type="dxa" w:w="110"/>
              <w:bottom w:type="dxa" w:w="70"/>
              <w:right w:type="dxa" w:w="110"/>
            </w:tcMar>
          </w:tcPr>
          <w:p>
            <w:r>
              <w:rPr>
                <w:b w:val="false"/>
                <w:bCs w:val="false"/>
                <w:sz w:val="19"/>
                <w:szCs w:val="19"/>
              </w:rPr>
              <w:t xml:space="preserve">Unmatched</w:t>
            </w:r>
          </w:p>
        </w:tc>
        <w:tc>
          <w:tcPr>
            <w:tcW w:type="dxa" w:w="4560"/>
            <w:tcMar>
              <w:top w:type="dxa" w:w="70"/>
              <w:left w:type="dxa" w:w="110"/>
              <w:bottom w:type="dxa" w:w="70"/>
              <w:right w:type="dxa" w:w="110"/>
            </w:tcMar>
          </w:tcPr>
          <w:p>
            <w:r>
              <w:rPr>
                <w:b w:val="false"/>
                <w:bCs w:val="false"/>
                <w:sz w:val="19"/>
                <w:szCs w:val="19"/>
              </w:rPr>
              <w:t xml:space="preserve">Present in one system only. No automatic resolution is attempted.</w:t>
            </w:r>
          </w:p>
        </w:tc>
        <w:tc>
          <w:tcPr>
            <w:tcW w:type="dxa" w:w="1300"/>
            <w:tcMar>
              <w:top w:type="dxa" w:w="70"/>
              <w:left w:type="dxa" w:w="110"/>
              <w:bottom w:type="dxa" w:w="70"/>
              <w:right w:type="dxa" w:w="110"/>
            </w:tcMar>
          </w:tcPr>
          <w:p>
            <w:r>
              <w:rPr>
                <w:b w:val="false"/>
                <w:bCs w:val="false"/>
                <w:sz w:val="19"/>
                <w:szCs w:val="19"/>
              </w:rPr>
              <w:t xml:space="preserve">UNMATCHED</w:t>
            </w:r>
          </w:p>
        </w:tc>
        <w:tc>
          <w:tcPr>
            <w:tcW w:type="dxa" w:w="1600"/>
            <w:tcMar>
              <w:top w:type="dxa" w:w="70"/>
              <w:left w:type="dxa" w:w="110"/>
              <w:bottom w:type="dxa" w:w="70"/>
              <w:right w:type="dxa" w:w="110"/>
            </w:tcMar>
          </w:tcPr>
          <w:p>
            <w:r>
              <w:rPr>
                <w:b w:val="false"/>
                <w:bCs w:val="false"/>
                <w:sz w:val="19"/>
                <w:szCs w:val="19"/>
              </w:rPr>
              <w:t xml:space="preserve">Yes</w:t>
            </w:r>
          </w:p>
        </w:tc>
      </w:tr>
    </w:tbl>
    <w:p>
      <w:pPr>
        <w:spacing w:after="160"/>
      </w:pPr>
      <w:r>
        <w:rPr>
          <w:sz w:val="14"/>
          <w:szCs w:val="14"/>
        </w:rPr>
        <w:t xml:space="preserve"/>
      </w:r>
    </w:p>
    <w:p>
      <w:pPr>
        <w:pStyle w:val="Heading3"/>
        <w:spacing w:after="90" w:before="200"/>
      </w:pPr>
      <w:r>
        <w:t xml:space="preserve">Interpretation of unmatched records</w:t>
      </w:r>
    </w:p>
    <w:p>
      <w:pPr>
        <w:spacing w:after="130" w:line="290"/>
      </w:pPr>
      <w:r>
        <w:rPr>
          <w:sz w:val="21"/>
          <w:szCs w:val="21"/>
        </w:rPr>
        <w:t xml:space="preserve">An unmatched record is not necessarily an error, and the two directions mean different things.</w:t>
      </w:r>
    </w:p>
    <w:p>
      <w:pPr>
        <w:pStyle w:val="ListParagraph"/>
        <w:numPr>
          <w:ilvl w:val="0"/>
          <w:numId w:val="2"/>
        </w:numPr>
        <w:spacing w:after="90" w:line="290"/>
      </w:pPr>
      <w:r>
        <w:rPr>
          <w:sz w:val="21"/>
          <w:szCs w:val="21"/>
        </w:rPr>
        <w:t xml:space="preserve">Present in HR.net only: may be a genuine non-paid worker, such as a volunteer or a board member, or may be a new starter not yet set up in payroll.</w:t>
      </w:r>
    </w:p>
    <w:p>
      <w:pPr>
        <w:pStyle w:val="ListParagraph"/>
        <w:numPr>
          <w:ilvl w:val="0"/>
          <w:numId w:val="2"/>
        </w:numPr>
        <w:spacing w:after="90" w:line="290"/>
      </w:pPr>
      <w:r>
        <w:rPr>
          <w:sz w:val="21"/>
          <w:szCs w:val="21"/>
        </w:rPr>
        <w:t xml:space="preserve">Present in MiraclePay only: may be a leaver whose record was never closed in HR, or a payment being made to someone with no employment record, which is a control concern rather than a data issue.</w:t>
      </w:r>
    </w:p>
    <w:p>
      <w:pPr>
        <w:spacing w:after="130" w:line="290"/>
      </w:pPr>
      <w:r>
        <w:rPr>
          <w:sz w:val="21"/>
          <w:szCs w:val="21"/>
        </w:rPr>
        <w:t xml:space="preserve">Both cases are routed to the exception report for business decision. Neither is resolved automatically, because a wrong assumption in either direction has consequences.</w:t>
      </w:r>
    </w:p>
    <w:p>
      <w:pPr>
        <w:pStyle w:val="Heading3"/>
        <w:spacing w:after="90" w:before="200"/>
      </w:pPr>
      <w:r>
        <w:t xml:space="preserve">Personnel number assignment</w:t>
      </w:r>
    </w:p>
    <w:p>
      <w:pPr>
        <w:spacing w:after="130" w:line="290"/>
      </w:pPr>
      <w:r>
        <w:rPr>
          <w:sz w:val="21"/>
          <w:szCs w:val="21"/>
        </w:rPr>
        <w:t xml:space="preserve">SAP personnel numbers are assigned sequentially by the migration beginning at 10000001. Neither legacy key is carried forward as the SAP key. Both are retained in the key mapping table so that every target record traces back to its source records, which is what makes post-migration reconciliation possible at all.</w:t>
      </w:r>
    </w:p>
    <w:p>
      <w:r>
        <w:br w:type="page"/>
      </w:r>
    </w:p>
    <w:p>
      <w:pPr>
        <w:pStyle w:val="Heading1"/>
        <w:spacing w:after="160" w:before="360"/>
      </w:pPr>
      <w:r>
        <w:t xml:space="preserve">4. Survivorship rules</w:t>
      </w:r>
    </w:p>
    <w:p>
      <w:pPr>
        <w:spacing w:after="130" w:line="290"/>
      </w:pPr>
      <w:r>
        <w:rPr>
          <w:sz w:val="21"/>
          <w:szCs w:val="21"/>
        </w:rPr>
        <w:t xml:space="preserve">Where both systems hold a value for the same field and the values differ, a survivorship rule determines which is carried into SAP. Each rule reflects which system owns that data operationally, rather than a general preference for one source.</w:t>
      </w:r>
    </w:p>
    <w:p>
      <w:pPr>
        <w:spacing w:after="130" w:line="290"/>
      </w:pPr>
      <w:r>
        <w:rPr>
          <w:sz w:val="21"/>
          <w:szCs w:val="21"/>
        </w:rPr>
        <w:t xml:space="preserve">Every application of a survivorship rule is written to the migration audit table with the value before, the value after and the rule applied. When a stakeholder asks why an employee’s cost centre differs from the old system, the answer is a query rather than a recollection.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360"/>
        <w:gridCol w:w="1200"/>
      </w:tblGrid>
      <w:tr>
        <w:trPr>
          <w:tblHeader/>
        </w:trPr>
        <w:tc>
          <w:tcPr>
            <w:tcW w:type="dxa" w:w="1500"/>
            <w:shd w:fill="DCE3EC" w:val="clear"/>
            <w:tcMar>
              <w:top w:type="dxa" w:w="70"/>
              <w:left w:type="dxa" w:w="110"/>
              <w:bottom w:type="dxa" w:w="70"/>
              <w:right w:type="dxa" w:w="110"/>
            </w:tcMar>
          </w:tcPr>
          <w:p>
            <w:r>
              <w:rPr>
                <w:b/>
                <w:bCs/>
                <w:sz w:val="19"/>
                <w:szCs w:val="19"/>
              </w:rPr>
              <w:t xml:space="preserve">Field</w:t>
            </w:r>
          </w:p>
        </w:tc>
        <w:tc>
          <w:tcPr>
            <w:tcW w:type="dxa" w:w="1300"/>
            <w:shd w:fill="DCE3EC" w:val="clear"/>
            <w:tcMar>
              <w:top w:type="dxa" w:w="70"/>
              <w:left w:type="dxa" w:w="110"/>
              <w:bottom w:type="dxa" w:w="70"/>
              <w:right w:type="dxa" w:w="110"/>
            </w:tcMar>
          </w:tcPr>
          <w:p>
            <w:r>
              <w:rPr>
                <w:b/>
                <w:bCs/>
                <w:sz w:val="19"/>
                <w:szCs w:val="19"/>
              </w:rPr>
              <w:t xml:space="preserve">Survivor</w:t>
            </w:r>
          </w:p>
        </w:tc>
        <w:tc>
          <w:tcPr>
            <w:tcW w:type="dxa" w:w="5360"/>
            <w:shd w:fill="DCE3EC" w:val="clear"/>
            <w:tcMar>
              <w:top w:type="dxa" w:w="70"/>
              <w:left w:type="dxa" w:w="110"/>
              <w:bottom w:type="dxa" w:w="70"/>
              <w:right w:type="dxa" w:w="110"/>
            </w:tcMar>
          </w:tcPr>
          <w:p>
            <w:r>
              <w:rPr>
                <w:b/>
                <w:bCs/>
                <w:sz w:val="19"/>
                <w:szCs w:val="19"/>
              </w:rPr>
              <w:t xml:space="preserve">Rationale</w:t>
            </w:r>
          </w:p>
        </w:tc>
        <w:tc>
          <w:tcPr>
            <w:tcW w:type="dxa" w:w="1200"/>
            <w:shd w:fill="DCE3EC" w:val="clear"/>
            <w:tcMar>
              <w:top w:type="dxa" w:w="70"/>
              <w:left w:type="dxa" w:w="110"/>
              <w:bottom w:type="dxa" w:w="70"/>
              <w:right w:type="dxa" w:w="110"/>
            </w:tcMar>
          </w:tcPr>
          <w:p>
            <w:r>
              <w:rPr>
                <w:b/>
                <w:bCs/>
                <w:sz w:val="19"/>
                <w:szCs w:val="19"/>
              </w:rPr>
              <w:t xml:space="preserve">Severity</w:t>
            </w:r>
          </w:p>
        </w:tc>
      </w:tr>
      <w:tr>
        <w:tc>
          <w:tcPr>
            <w:tcW w:type="dxa" w:w="1500"/>
            <w:tcMar>
              <w:top w:type="dxa" w:w="70"/>
              <w:left w:type="dxa" w:w="110"/>
              <w:bottom w:type="dxa" w:w="70"/>
              <w:right w:type="dxa" w:w="110"/>
            </w:tcMar>
          </w:tcPr>
          <w:p>
            <w:r>
              <w:rPr>
                <w:b w:val="false"/>
                <w:bCs w:val="false"/>
                <w:sz w:val="19"/>
                <w:szCs w:val="19"/>
              </w:rPr>
              <w:t xml:space="preserve">Cost centre</w:t>
            </w:r>
          </w:p>
        </w:tc>
        <w:tc>
          <w:tcPr>
            <w:tcW w:type="dxa" w:w="1300"/>
            <w:tcMar>
              <w:top w:type="dxa" w:w="70"/>
              <w:left w:type="dxa" w:w="110"/>
              <w:bottom w:type="dxa" w:w="70"/>
              <w:right w:type="dxa" w:w="110"/>
            </w:tcMar>
          </w:tcPr>
          <w:p>
            <w:r>
              <w:rPr>
                <w:b w:val="false"/>
                <w:bCs w:val="false"/>
                <w:sz w:val="19"/>
                <w:szCs w:val="19"/>
              </w:rPr>
              <w:t xml:space="preserve">MiraclePay</w:t>
            </w:r>
          </w:p>
        </w:tc>
        <w:tc>
          <w:tcPr>
            <w:tcW w:type="dxa" w:w="5360"/>
            <w:tcMar>
              <w:top w:type="dxa" w:w="70"/>
              <w:left w:type="dxa" w:w="110"/>
              <w:bottom w:type="dxa" w:w="70"/>
              <w:right w:type="dxa" w:w="110"/>
            </w:tcMar>
          </w:tcPr>
          <w:p>
            <w:r>
              <w:rPr>
                <w:b w:val="false"/>
                <w:bCs w:val="false"/>
                <w:sz w:val="19"/>
                <w:szCs w:val="19"/>
              </w:rPr>
              <w:t xml:space="preserve">Payroll cost centre determines where salary cost posts to the general ledger. HR’s value is used for reporting and is more frequently stale. Finance is the system of record for where money is charged.</w:t>
            </w:r>
          </w:p>
        </w:tc>
        <w:tc>
          <w:tcPr>
            <w:tcW w:type="dxa" w:w="1200"/>
            <w:tcMar>
              <w:top w:type="dxa" w:w="70"/>
              <w:left w:type="dxa" w:w="110"/>
              <w:bottom w:type="dxa" w:w="70"/>
              <w:right w:type="dxa" w:w="110"/>
            </w:tcMar>
          </w:tcPr>
          <w:p>
            <w:r>
              <w:rPr>
                <w:b w:val="false"/>
                <w:bCs w:val="false"/>
                <w:sz w:val="19"/>
                <w:szCs w:val="19"/>
              </w:rPr>
              <w:t xml:space="preserve">MEDIUM</w:t>
            </w:r>
          </w:p>
        </w:tc>
      </w:tr>
      <w:tr>
        <w:tc>
          <w:tcPr>
            <w:tcW w:type="dxa" w:w="1500"/>
            <w:tcMar>
              <w:top w:type="dxa" w:w="70"/>
              <w:left w:type="dxa" w:w="110"/>
              <w:bottom w:type="dxa" w:w="70"/>
              <w:right w:type="dxa" w:w="110"/>
            </w:tcMar>
          </w:tcPr>
          <w:p>
            <w:r>
              <w:rPr>
                <w:b w:val="false"/>
                <w:bCs w:val="false"/>
                <w:sz w:val="19"/>
                <w:szCs w:val="19"/>
              </w:rPr>
              <w:t xml:space="preserve">Surname</w:t>
            </w:r>
          </w:p>
        </w:tc>
        <w:tc>
          <w:tcPr>
            <w:tcW w:type="dxa" w:w="1300"/>
            <w:tcMar>
              <w:top w:type="dxa" w:w="70"/>
              <w:left w:type="dxa" w:w="110"/>
              <w:bottom w:type="dxa" w:w="70"/>
              <w:right w:type="dxa" w:w="110"/>
            </w:tcMar>
          </w:tcPr>
          <w:p>
            <w:r>
              <w:rPr>
                <w:b w:val="false"/>
                <w:bCs w:val="false"/>
                <w:sz w:val="19"/>
                <w:szCs w:val="19"/>
              </w:rPr>
              <w:t xml:space="preserve">HR.net</w:t>
            </w:r>
          </w:p>
        </w:tc>
        <w:tc>
          <w:tcPr>
            <w:tcW w:type="dxa" w:w="5360"/>
            <w:tcMar>
              <w:top w:type="dxa" w:w="70"/>
              <w:left w:type="dxa" w:w="110"/>
              <w:bottom w:type="dxa" w:w="70"/>
              <w:right w:type="dxa" w:w="110"/>
            </w:tcMar>
          </w:tcPr>
          <w:p>
            <w:r>
              <w:rPr>
                <w:b w:val="false"/>
                <w:bCs w:val="false"/>
                <w:sz w:val="19"/>
                <w:szCs w:val="19"/>
              </w:rPr>
              <w:t xml:space="preserve">HR is the system of record for identity. Payroll surnames are often outdated following marriage or deed poll, because payroll is updated only where the change affects payment.</w:t>
            </w:r>
          </w:p>
        </w:tc>
        <w:tc>
          <w:tcPr>
            <w:tcW w:type="dxa" w:w="1200"/>
            <w:tcMar>
              <w:top w:type="dxa" w:w="70"/>
              <w:left w:type="dxa" w:w="110"/>
              <w:bottom w:type="dxa" w:w="70"/>
              <w:right w:type="dxa" w:w="110"/>
            </w:tcMar>
          </w:tcPr>
          <w:p>
            <w:r>
              <w:rPr>
                <w:b w:val="false"/>
                <w:bCs w:val="false"/>
                <w:sz w:val="19"/>
                <w:szCs w:val="19"/>
              </w:rPr>
              <w:t xml:space="preserve">LOW</w:t>
            </w:r>
          </w:p>
        </w:tc>
      </w:tr>
      <w:tr>
        <w:tc>
          <w:tcPr>
            <w:tcW w:type="dxa" w:w="1500"/>
            <w:tcMar>
              <w:top w:type="dxa" w:w="70"/>
              <w:left w:type="dxa" w:w="110"/>
              <w:bottom w:type="dxa" w:w="70"/>
              <w:right w:type="dxa" w:w="110"/>
            </w:tcMar>
          </w:tcPr>
          <w:p>
            <w:r>
              <w:rPr>
                <w:b w:val="false"/>
                <w:bCs w:val="false"/>
                <w:sz w:val="19"/>
                <w:szCs w:val="19"/>
              </w:rPr>
              <w:t xml:space="preserve">Forename</w:t>
            </w:r>
          </w:p>
        </w:tc>
        <w:tc>
          <w:tcPr>
            <w:tcW w:type="dxa" w:w="1300"/>
            <w:tcMar>
              <w:top w:type="dxa" w:w="70"/>
              <w:left w:type="dxa" w:w="110"/>
              <w:bottom w:type="dxa" w:w="70"/>
              <w:right w:type="dxa" w:w="110"/>
            </w:tcMar>
          </w:tcPr>
          <w:p>
            <w:r>
              <w:rPr>
                <w:b w:val="false"/>
                <w:bCs w:val="false"/>
                <w:sz w:val="19"/>
                <w:szCs w:val="19"/>
              </w:rPr>
              <w:t xml:space="preserve">HR.net</w:t>
            </w:r>
          </w:p>
        </w:tc>
        <w:tc>
          <w:tcPr>
            <w:tcW w:type="dxa" w:w="5360"/>
            <w:tcMar>
              <w:top w:type="dxa" w:w="70"/>
              <w:left w:type="dxa" w:w="110"/>
              <w:bottom w:type="dxa" w:w="70"/>
              <w:right w:type="dxa" w:w="110"/>
            </w:tcMar>
          </w:tcPr>
          <w:p>
            <w:r>
              <w:rPr>
                <w:b w:val="false"/>
                <w:bCs w:val="false"/>
                <w:sz w:val="19"/>
                <w:szCs w:val="19"/>
              </w:rPr>
              <w:t xml:space="preserve">As surname. HR owns identity.</w:t>
            </w:r>
          </w:p>
        </w:tc>
        <w:tc>
          <w:tcPr>
            <w:tcW w:type="dxa" w:w="1200"/>
            <w:tcMar>
              <w:top w:type="dxa" w:w="70"/>
              <w:left w:type="dxa" w:w="110"/>
              <w:bottom w:type="dxa" w:w="70"/>
              <w:right w:type="dxa" w:w="110"/>
            </w:tcMar>
          </w:tcPr>
          <w:p>
            <w:r>
              <w:rPr>
                <w:b w:val="false"/>
                <w:bCs w:val="false"/>
                <w:sz w:val="19"/>
                <w:szCs w:val="19"/>
              </w:rPr>
              <w:t xml:space="preserve">LOW</w:t>
            </w:r>
          </w:p>
        </w:tc>
      </w:tr>
      <w:tr>
        <w:tc>
          <w:tcPr>
            <w:tcW w:type="dxa" w:w="1500"/>
            <w:tcMar>
              <w:top w:type="dxa" w:w="70"/>
              <w:left w:type="dxa" w:w="110"/>
              <w:bottom w:type="dxa" w:w="70"/>
              <w:right w:type="dxa" w:w="110"/>
            </w:tcMar>
          </w:tcPr>
          <w:p>
            <w:r>
              <w:rPr>
                <w:b w:val="false"/>
                <w:bCs w:val="false"/>
                <w:sz w:val="19"/>
                <w:szCs w:val="19"/>
              </w:rPr>
              <w:t xml:space="preserve">Date of birth</w:t>
            </w:r>
          </w:p>
        </w:tc>
        <w:tc>
          <w:tcPr>
            <w:tcW w:type="dxa" w:w="1300"/>
            <w:tcMar>
              <w:top w:type="dxa" w:w="70"/>
              <w:left w:type="dxa" w:w="110"/>
              <w:bottom w:type="dxa" w:w="70"/>
              <w:right w:type="dxa" w:w="110"/>
            </w:tcMar>
          </w:tcPr>
          <w:p>
            <w:r>
              <w:rPr>
                <w:b w:val="false"/>
                <w:bCs w:val="false"/>
                <w:sz w:val="19"/>
                <w:szCs w:val="19"/>
              </w:rPr>
              <w:t xml:space="preserve">Neither</w:t>
            </w:r>
          </w:p>
        </w:tc>
        <w:tc>
          <w:tcPr>
            <w:tcW w:type="dxa" w:w="5360"/>
            <w:tcMar>
              <w:top w:type="dxa" w:w="70"/>
              <w:left w:type="dxa" w:w="110"/>
              <w:bottom w:type="dxa" w:w="70"/>
              <w:right w:type="dxa" w:w="110"/>
            </w:tcMar>
          </w:tcPr>
          <w:p>
            <w:r>
              <w:rPr>
                <w:b w:val="false"/>
                <w:bCs w:val="false"/>
                <w:sz w:val="19"/>
                <w:szCs w:val="19"/>
              </w:rPr>
              <w:t xml:space="preserve">No automatic survivorship. See below.</w:t>
            </w:r>
          </w:p>
        </w:tc>
        <w:tc>
          <w:tcPr>
            <w:tcW w:type="dxa" w:w="1200"/>
            <w:tcMar>
              <w:top w:type="dxa" w:w="70"/>
              <w:left w:type="dxa" w:w="110"/>
              <w:bottom w:type="dxa" w:w="70"/>
              <w:right w:type="dxa" w:w="110"/>
            </w:tcMar>
          </w:tcPr>
          <w:p>
            <w:r>
              <w:rPr>
                <w:b w:val="false"/>
                <w:bCs w:val="false"/>
                <w:sz w:val="19"/>
                <w:szCs w:val="19"/>
              </w:rPr>
              <w:t xml:space="preserve">CRITICAL</w:t>
            </w:r>
          </w:p>
        </w:tc>
      </w:tr>
      <w:tr>
        <w:tc>
          <w:tcPr>
            <w:tcW w:type="dxa" w:w="1500"/>
            <w:tcMar>
              <w:top w:type="dxa" w:w="70"/>
              <w:left w:type="dxa" w:w="110"/>
              <w:bottom w:type="dxa" w:w="70"/>
              <w:right w:type="dxa" w:w="110"/>
            </w:tcMar>
          </w:tcPr>
          <w:p>
            <w:r>
              <w:rPr>
                <w:b w:val="false"/>
                <w:bCs w:val="false"/>
                <w:sz w:val="19"/>
                <w:szCs w:val="19"/>
              </w:rPr>
              <w:t xml:space="preserve">Employment dates</w:t>
            </w:r>
          </w:p>
        </w:tc>
        <w:tc>
          <w:tcPr>
            <w:tcW w:type="dxa" w:w="1300"/>
            <w:tcMar>
              <w:top w:type="dxa" w:w="70"/>
              <w:left w:type="dxa" w:w="110"/>
              <w:bottom w:type="dxa" w:w="70"/>
              <w:right w:type="dxa" w:w="110"/>
            </w:tcMar>
          </w:tcPr>
          <w:p>
            <w:r>
              <w:rPr>
                <w:b w:val="false"/>
                <w:bCs w:val="false"/>
                <w:sz w:val="19"/>
                <w:szCs w:val="19"/>
              </w:rPr>
              <w:t xml:space="preserve">HR.net</w:t>
            </w:r>
          </w:p>
        </w:tc>
        <w:tc>
          <w:tcPr>
            <w:tcW w:type="dxa" w:w="5360"/>
            <w:tcMar>
              <w:top w:type="dxa" w:w="70"/>
              <w:left w:type="dxa" w:w="110"/>
              <w:bottom w:type="dxa" w:w="70"/>
              <w:right w:type="dxa" w:w="110"/>
            </w:tcMar>
          </w:tcPr>
          <w:p>
            <w:r>
              <w:rPr>
                <w:b w:val="false"/>
                <w:bCs w:val="false"/>
                <w:sz w:val="19"/>
                <w:szCs w:val="19"/>
              </w:rPr>
              <w:t xml:space="preserve">HR records the contractual start date. Payroll records the first date paid, which may be later where onboarding spanned a pay cut-off.</w:t>
            </w:r>
          </w:p>
        </w:tc>
        <w:tc>
          <w:tcPr>
            <w:tcW w:type="dxa" w:w="1200"/>
            <w:tcMar>
              <w:top w:type="dxa" w:w="70"/>
              <w:left w:type="dxa" w:w="110"/>
              <w:bottom w:type="dxa" w:w="70"/>
              <w:right w:type="dxa" w:w="110"/>
            </w:tcMar>
          </w:tcPr>
          <w:p>
            <w:r>
              <w:rPr>
                <w:b w:val="false"/>
                <w:bCs w:val="false"/>
                <w:sz w:val="19"/>
                <w:szCs w:val="19"/>
              </w:rPr>
              <w:t xml:space="preserve">LOW</w:t>
            </w:r>
          </w:p>
        </w:tc>
      </w:tr>
      <w:tr>
        <w:tc>
          <w:tcPr>
            <w:tcW w:type="dxa" w:w="1500"/>
            <w:tcMar>
              <w:top w:type="dxa" w:w="70"/>
              <w:left w:type="dxa" w:w="110"/>
              <w:bottom w:type="dxa" w:w="70"/>
              <w:right w:type="dxa" w:w="110"/>
            </w:tcMar>
          </w:tcPr>
          <w:p>
            <w:r>
              <w:rPr>
                <w:b w:val="false"/>
                <w:bCs w:val="false"/>
                <w:sz w:val="19"/>
                <w:szCs w:val="19"/>
              </w:rPr>
              <w:t xml:space="preserve">Leaver status</w:t>
            </w:r>
          </w:p>
        </w:tc>
        <w:tc>
          <w:tcPr>
            <w:tcW w:type="dxa" w:w="1300"/>
            <w:tcMar>
              <w:top w:type="dxa" w:w="70"/>
              <w:left w:type="dxa" w:w="110"/>
              <w:bottom w:type="dxa" w:w="70"/>
              <w:right w:type="dxa" w:w="110"/>
            </w:tcMar>
          </w:tcPr>
          <w:p>
            <w:r>
              <w:rPr>
                <w:b w:val="false"/>
                <w:bCs w:val="false"/>
                <w:sz w:val="19"/>
                <w:szCs w:val="19"/>
              </w:rPr>
              <w:t xml:space="preserve">Neither</w:t>
            </w:r>
          </w:p>
        </w:tc>
        <w:tc>
          <w:tcPr>
            <w:tcW w:type="dxa" w:w="5360"/>
            <w:tcMar>
              <w:top w:type="dxa" w:w="70"/>
              <w:left w:type="dxa" w:w="110"/>
              <w:bottom w:type="dxa" w:w="70"/>
              <w:right w:type="dxa" w:w="110"/>
            </w:tcMar>
          </w:tcPr>
          <w:p>
            <w:r>
              <w:rPr>
                <w:b w:val="false"/>
                <w:bCs w:val="false"/>
                <w:sz w:val="19"/>
                <w:szCs w:val="19"/>
              </w:rPr>
              <w:t xml:space="preserve">No automatic resolution. See below.</w:t>
            </w:r>
          </w:p>
        </w:tc>
        <w:tc>
          <w:tcPr>
            <w:tcW w:type="dxa" w:w="1200"/>
            <w:tcMar>
              <w:top w:type="dxa" w:w="70"/>
              <w:left w:type="dxa" w:w="110"/>
              <w:bottom w:type="dxa" w:w="70"/>
              <w:right w:type="dxa" w:w="110"/>
            </w:tcMar>
          </w:tcPr>
          <w:p>
            <w:r>
              <w:rPr>
                <w:b w:val="false"/>
                <w:bCs w:val="false"/>
                <w:sz w:val="19"/>
                <w:szCs w:val="19"/>
              </w:rPr>
              <w:t xml:space="preserve">CRITICAL</w:t>
            </w:r>
          </w:p>
        </w:tc>
      </w:tr>
    </w:tbl>
    <w:p>
      <w:pPr>
        <w:spacing w:after="160"/>
      </w:pPr>
      <w:r>
        <w:rPr>
          <w:sz w:val="14"/>
          <w:szCs w:val="14"/>
        </w:rPr>
        <w:t xml:space="preserve"/>
      </w:r>
    </w:p>
    <w:p>
      <w:pPr>
        <w:pStyle w:val="Heading3"/>
        <w:spacing w:after="90" w:before="200"/>
      </w:pPr>
      <w:r>
        <w:t xml:space="preserve">Why date of birth has no survivorship rule</w:t>
      </w:r>
    </w:p>
    <w:p>
      <w:pPr>
        <w:spacing w:after="130" w:line="290"/>
      </w:pPr>
      <w:r>
        <w:rPr>
          <w:sz w:val="21"/>
          <w:szCs w:val="21"/>
        </w:rPr>
        <w:t xml:space="preserve">Date of birth drives National Insurance category, pension auto-enrolment eligibility and several statutory entitlements. A wrong date has legal and financial consequences for both the employee and the employer.</w:t>
      </w:r>
    </w:p>
    <w:p>
      <w:pPr>
        <w:spacing w:after="130" w:line="290"/>
      </w:pPr>
      <w:r>
        <w:rPr>
          <w:sz w:val="21"/>
          <w:szCs w:val="21"/>
        </w:rPr>
        <w:t xml:space="preserve">Where the two sources disagree, the migration does not choose. Both values are rejected, the record is routed to the exception report, and a human decides. Automating this would be faster and would occasionally be wrong, and occasionally wrong is not an acceptable standard for this field.</w:t>
      </w:r>
    </w:p>
    <w:p>
      <w:pPr>
        <w:pStyle w:val="Heading3"/>
        <w:spacing w:after="90" w:before="200"/>
      </w:pPr>
      <w:r>
        <w:t xml:space="preserve">Why leaver status has no survivorship rule</w:t>
      </w:r>
    </w:p>
    <w:p>
      <w:pPr>
        <w:spacing w:after="130" w:line="290"/>
      </w:pPr>
      <w:r>
        <w:rPr>
          <w:sz w:val="21"/>
          <w:szCs w:val="21"/>
        </w:rPr>
        <w:t xml:space="preserve">Where HR records a leaver date but payroll shows payments made after it, that is a material control failure rather than a data quality issue: someone has been paid after leaving. The reverse case, where payroll has terminated but HR shows the employee as active, may indicate an unprocessed leaver.</w:t>
      </w:r>
    </w:p>
    <w:p>
      <w:pPr>
        <w:spacing w:after="130" w:line="290"/>
      </w:pPr>
      <w:r>
        <w:rPr>
          <w:sz w:val="21"/>
          <w:szCs w:val="21"/>
        </w:rPr>
        <w:t xml:space="preserve">Both are raised as critical defects and escalated. Neither is resolved by rule.</w:t>
      </w:r>
    </w:p>
    <w:p>
      <w:r>
        <w:br w:type="page"/>
      </w:r>
    </w:p>
    <w:p>
      <w:pPr>
        <w:pStyle w:val="Heading1"/>
        <w:spacing w:after="160" w:before="360"/>
      </w:pPr>
      <w:r>
        <w:t xml:space="preserve">5. Derived salary history (PA0008)</w:t>
      </w:r>
    </w:p>
    <w:p>
      <w:pPr>
        <w:spacing w:after="130" w:line="290"/>
      </w:pPr>
      <w:r>
        <w:rPr>
          <w:sz w:val="21"/>
          <w:szCs w:val="21"/>
        </w:rPr>
        <w:t xml:space="preserve">PA0008 is the only infotype in scope with genuine derived history, and it is the most technically demanding part of the migration.</w:t>
      </w:r>
    </w:p>
    <w:p>
      <w:pPr>
        <w:pStyle w:val="Heading2"/>
        <w:spacing w:after="110" w:before="260"/>
      </w:pPr>
      <w:r>
        <w:t xml:space="preserve">5.1 The problem</w:t>
      </w:r>
    </w:p>
    <w:p>
      <w:pPr>
        <w:spacing w:after="130" w:line="290"/>
      </w:pPr>
      <w:r>
        <w:rPr>
          <w:sz w:val="21"/>
          <w:szCs w:val="21"/>
        </w:rPr>
        <w:t xml:space="preserve">SAP requires basic pay to be held as a series of date-delimited records covering the full period of employment continuously. No source system holds a salary change log. The only temporal evidence available is the monthly payment history in MiraclePay, which records what was actually paid each period but not why it changed.</w:t>
      </w:r>
    </w:p>
    <w:p>
      <w:pPr>
        <w:spacing w:after="130" w:line="290"/>
      </w:pPr>
      <w:r>
        <w:rPr>
          <w:sz w:val="21"/>
          <w:szCs w:val="21"/>
        </w:rPr>
        <w:t xml:space="preserve">Salary history must therefore be inferred from step changes in basic pay across consecutive payment periods. The rules below govern that inference. They are assumptions, and they require business acceptance, because an incorrect inference produces an incorrect salary history in the target system.</w:t>
      </w:r>
    </w:p>
    <w:p>
      <w:pPr>
        <w:pStyle w:val="Heading2"/>
        <w:spacing w:after="110" w:before="260"/>
      </w:pPr>
      <w:r>
        <w:t xml:space="preserve">5.2 Derivation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DCE3EC" w:val="clear"/>
            <w:tcMar>
              <w:top w:type="dxa" w:w="70"/>
              <w:left w:type="dxa" w:w="110"/>
              <w:bottom w:type="dxa" w:w="70"/>
              <w:right w:type="dxa" w:w="110"/>
            </w:tcMar>
          </w:tcPr>
          <w:p>
            <w:r>
              <w:rPr>
                <w:b/>
                <w:bCs/>
                <w:sz w:val="19"/>
                <w:szCs w:val="19"/>
              </w:rPr>
              <w:t xml:space="preserve">Rule</w:t>
            </w:r>
          </w:p>
        </w:tc>
        <w:tc>
          <w:tcPr>
            <w:tcW w:type="dxa" w:w="1900"/>
            <w:shd w:fill="DCE3EC" w:val="clear"/>
            <w:tcMar>
              <w:top w:type="dxa" w:w="70"/>
              <w:left w:type="dxa" w:w="110"/>
              <w:bottom w:type="dxa" w:w="70"/>
              <w:right w:type="dxa" w:w="110"/>
            </w:tcMar>
          </w:tcPr>
          <w:p>
            <w:r>
              <w:rPr>
                <w:b/>
                <w:bCs/>
                <w:sz w:val="19"/>
                <w:szCs w:val="19"/>
              </w:rPr>
              <w:t xml:space="preserve">Name</w:t>
            </w:r>
          </w:p>
        </w:tc>
        <w:tc>
          <w:tcPr>
            <w:tcW w:type="dxa" w:w="6560"/>
            <w:shd w:fill="DCE3EC" w:val="clear"/>
            <w:tcMar>
              <w:top w:type="dxa" w:w="70"/>
              <w:left w:type="dxa" w:w="110"/>
              <w:bottom w:type="dxa" w:w="70"/>
              <w:right w:type="dxa" w:w="110"/>
            </w:tcMar>
          </w:tcPr>
          <w:p>
            <w:r>
              <w:rPr>
                <w:b/>
                <w:bCs/>
                <w:sz w:val="19"/>
                <w:szCs w:val="19"/>
              </w:rPr>
              <w:t xml:space="preserve">Description and rationale</w:t>
            </w:r>
          </w:p>
        </w:tc>
      </w:tr>
      <w:tr>
        <w:tc>
          <w:tcPr>
            <w:tcW w:type="dxa" w:w="900"/>
            <w:tcMar>
              <w:top w:type="dxa" w:w="70"/>
              <w:left w:type="dxa" w:w="110"/>
              <w:bottom w:type="dxa" w:w="70"/>
              <w:right w:type="dxa" w:w="110"/>
            </w:tcMar>
          </w:tcPr>
          <w:p>
            <w:r>
              <w:rPr>
                <w:b w:val="false"/>
                <w:bCs w:val="false"/>
                <w:sz w:val="19"/>
                <w:szCs w:val="19"/>
              </w:rPr>
              <w:t xml:space="preserve">PAY-01</w:t>
            </w:r>
          </w:p>
        </w:tc>
        <w:tc>
          <w:tcPr>
            <w:tcW w:type="dxa" w:w="1900"/>
            <w:tcMar>
              <w:top w:type="dxa" w:w="70"/>
              <w:left w:type="dxa" w:w="110"/>
              <w:bottom w:type="dxa" w:w="70"/>
              <w:right w:type="dxa" w:w="110"/>
            </w:tcMar>
          </w:tcPr>
          <w:p>
            <w:r>
              <w:rPr>
                <w:b w:val="false"/>
                <w:bCs w:val="false"/>
                <w:sz w:val="19"/>
                <w:szCs w:val="19"/>
              </w:rPr>
              <w:t xml:space="preserve">Period detection</w:t>
            </w:r>
          </w:p>
        </w:tc>
        <w:tc>
          <w:tcPr>
            <w:tcW w:type="dxa" w:w="6560"/>
            <w:tcMar>
              <w:top w:type="dxa" w:w="70"/>
              <w:left w:type="dxa" w:w="110"/>
              <w:bottom w:type="dxa" w:w="70"/>
              <w:right w:type="dxa" w:w="110"/>
            </w:tcMar>
          </w:tcPr>
          <w:p>
            <w:r>
              <w:rPr>
                <w:b w:val="false"/>
                <w:bCs w:val="false"/>
                <w:sz w:val="19"/>
                <w:szCs w:val="19"/>
              </w:rPr>
              <w:t xml:space="preserve">A new record begins where annualised basic pay differs from the preceding period by more than 0.5 per cent. The tolerance absorbs rounding differences from monthly division without masking genuine pay awards, which are rarely below one per cent.</w:t>
            </w:r>
          </w:p>
        </w:tc>
      </w:tr>
      <w:tr>
        <w:tc>
          <w:tcPr>
            <w:tcW w:type="dxa" w:w="900"/>
            <w:tcMar>
              <w:top w:type="dxa" w:w="70"/>
              <w:left w:type="dxa" w:w="110"/>
              <w:bottom w:type="dxa" w:w="70"/>
              <w:right w:type="dxa" w:w="110"/>
            </w:tcMar>
          </w:tcPr>
          <w:p>
            <w:r>
              <w:rPr>
                <w:b w:val="false"/>
                <w:bCs w:val="false"/>
                <w:sz w:val="19"/>
                <w:szCs w:val="19"/>
              </w:rPr>
              <w:t xml:space="preserve">PAY-02</w:t>
            </w:r>
          </w:p>
        </w:tc>
        <w:tc>
          <w:tcPr>
            <w:tcW w:type="dxa" w:w="1900"/>
            <w:tcMar>
              <w:top w:type="dxa" w:w="70"/>
              <w:left w:type="dxa" w:w="110"/>
              <w:bottom w:type="dxa" w:w="70"/>
              <w:right w:type="dxa" w:w="110"/>
            </w:tcMar>
          </w:tcPr>
          <w:p>
            <w:r>
              <w:rPr>
                <w:b w:val="false"/>
                <w:bCs w:val="false"/>
                <w:sz w:val="19"/>
                <w:szCs w:val="19"/>
              </w:rPr>
              <w:t xml:space="preserve">Bonus exclusion</w:t>
            </w:r>
          </w:p>
        </w:tc>
        <w:tc>
          <w:tcPr>
            <w:tcW w:type="dxa" w:w="6560"/>
            <w:tcMar>
              <w:top w:type="dxa" w:w="70"/>
              <w:left w:type="dxa" w:w="110"/>
              <w:bottom w:type="dxa" w:w="70"/>
              <w:right w:type="dxa" w:w="110"/>
            </w:tcMar>
          </w:tcPr>
          <w:p>
            <w:r>
              <w:rPr>
                <w:b w:val="false"/>
                <w:bCs w:val="false"/>
                <w:sz w:val="19"/>
                <w:szCs w:val="19"/>
              </w:rPr>
              <w:t xml:space="preserve">Only the basic pay column is used for detection. Bonus and overtime are excluded, since they vary monthly without any change to the underlying salary. Including them would create a new record almost every month.</w:t>
            </w:r>
          </w:p>
        </w:tc>
      </w:tr>
      <w:tr>
        <w:tc>
          <w:tcPr>
            <w:tcW w:type="dxa" w:w="900"/>
            <w:tcMar>
              <w:top w:type="dxa" w:w="70"/>
              <w:left w:type="dxa" w:w="110"/>
              <w:bottom w:type="dxa" w:w="70"/>
              <w:right w:type="dxa" w:w="110"/>
            </w:tcMar>
          </w:tcPr>
          <w:p>
            <w:r>
              <w:rPr>
                <w:b w:val="false"/>
                <w:bCs w:val="false"/>
                <w:sz w:val="19"/>
                <w:szCs w:val="19"/>
              </w:rPr>
              <w:t xml:space="preserve">PAY-03</w:t>
            </w:r>
          </w:p>
        </w:tc>
        <w:tc>
          <w:tcPr>
            <w:tcW w:type="dxa" w:w="1900"/>
            <w:tcMar>
              <w:top w:type="dxa" w:w="70"/>
              <w:left w:type="dxa" w:w="110"/>
              <w:bottom w:type="dxa" w:w="70"/>
              <w:right w:type="dxa" w:w="110"/>
            </w:tcMar>
          </w:tcPr>
          <w:p>
            <w:r>
              <w:rPr>
                <w:b w:val="false"/>
                <w:bCs w:val="false"/>
                <w:sz w:val="19"/>
                <w:szCs w:val="19"/>
              </w:rPr>
              <w:t xml:space="preserve">Partial period handling</w:t>
            </w:r>
          </w:p>
        </w:tc>
        <w:tc>
          <w:tcPr>
            <w:tcW w:type="dxa" w:w="6560"/>
            <w:tcMar>
              <w:top w:type="dxa" w:w="70"/>
              <w:left w:type="dxa" w:w="110"/>
              <w:bottom w:type="dxa" w:w="70"/>
              <w:right w:type="dxa" w:w="110"/>
            </w:tcMar>
          </w:tcPr>
          <w:p>
            <w:r>
              <w:rPr>
                <w:b w:val="false"/>
                <w:bCs w:val="false"/>
                <w:sz w:val="19"/>
                <w:szCs w:val="19"/>
              </w:rPr>
              <w:t xml:space="preserve">Where a period’s basic pay falls between 10 and 90 per cent of both the preceding and the following period, it is treated as a mid-month change rather than a distinct salary. No record is created for it and the change is dated to the first of that month.</w:t>
            </w:r>
          </w:p>
        </w:tc>
      </w:tr>
      <w:tr>
        <w:tc>
          <w:tcPr>
            <w:tcW w:type="dxa" w:w="900"/>
            <w:tcMar>
              <w:top w:type="dxa" w:w="70"/>
              <w:left w:type="dxa" w:w="110"/>
              <w:bottom w:type="dxa" w:w="70"/>
              <w:right w:type="dxa" w:w="110"/>
            </w:tcMar>
          </w:tcPr>
          <w:p>
            <w:r>
              <w:rPr>
                <w:b w:val="false"/>
                <w:bCs w:val="false"/>
                <w:sz w:val="19"/>
                <w:szCs w:val="19"/>
              </w:rPr>
              <w:t xml:space="preserve">PAY-04</w:t>
            </w:r>
          </w:p>
        </w:tc>
        <w:tc>
          <w:tcPr>
            <w:tcW w:type="dxa" w:w="1900"/>
            <w:tcMar>
              <w:top w:type="dxa" w:w="70"/>
              <w:left w:type="dxa" w:w="110"/>
              <w:bottom w:type="dxa" w:w="70"/>
              <w:right w:type="dxa" w:w="110"/>
            </w:tcMar>
          </w:tcPr>
          <w:p>
            <w:r>
              <w:rPr>
                <w:b w:val="false"/>
                <w:bCs w:val="false"/>
                <w:sz w:val="19"/>
                <w:szCs w:val="19"/>
              </w:rPr>
              <w:t xml:space="preserve">Zero and negative pay</w:t>
            </w:r>
          </w:p>
        </w:tc>
        <w:tc>
          <w:tcPr>
            <w:tcW w:type="dxa" w:w="6560"/>
            <w:tcMar>
              <w:top w:type="dxa" w:w="70"/>
              <w:left w:type="dxa" w:w="110"/>
              <w:bottom w:type="dxa" w:w="70"/>
              <w:right w:type="dxa" w:w="110"/>
            </w:tcMar>
          </w:tcPr>
          <w:p>
            <w:r>
              <w:rPr>
                <w:b w:val="false"/>
                <w:bCs w:val="false"/>
                <w:sz w:val="19"/>
                <w:szCs w:val="19"/>
              </w:rPr>
              <w:t xml:space="preserve">Periods with zero or negative basic pay are excluded from detection and do not terminate the preceding record. Zero pay indicates unpaid leave, a correction, or a maternity period, none of which represent a salary change.</w:t>
            </w:r>
          </w:p>
        </w:tc>
      </w:tr>
      <w:tr>
        <w:tc>
          <w:tcPr>
            <w:tcW w:type="dxa" w:w="900"/>
            <w:tcMar>
              <w:top w:type="dxa" w:w="70"/>
              <w:left w:type="dxa" w:w="110"/>
              <w:bottom w:type="dxa" w:w="70"/>
              <w:right w:type="dxa" w:w="110"/>
            </w:tcMar>
          </w:tcPr>
          <w:p>
            <w:r>
              <w:rPr>
                <w:b w:val="false"/>
                <w:bCs w:val="false"/>
                <w:sz w:val="19"/>
                <w:szCs w:val="19"/>
              </w:rPr>
              <w:t xml:space="preserve">PAY-05</w:t>
            </w:r>
          </w:p>
        </w:tc>
        <w:tc>
          <w:tcPr>
            <w:tcW w:type="dxa" w:w="1900"/>
            <w:tcMar>
              <w:top w:type="dxa" w:w="70"/>
              <w:left w:type="dxa" w:w="110"/>
              <w:bottom w:type="dxa" w:w="70"/>
              <w:right w:type="dxa" w:w="110"/>
            </w:tcMar>
          </w:tcPr>
          <w:p>
            <w:r>
              <w:rPr>
                <w:b w:val="false"/>
                <w:bCs w:val="false"/>
                <w:sz w:val="19"/>
                <w:szCs w:val="19"/>
              </w:rPr>
              <w:t xml:space="preserve">Gap closure</w:t>
            </w:r>
          </w:p>
        </w:tc>
        <w:tc>
          <w:tcPr>
            <w:tcW w:type="dxa" w:w="6560"/>
            <w:tcMar>
              <w:top w:type="dxa" w:w="70"/>
              <w:left w:type="dxa" w:w="110"/>
              <w:bottom w:type="dxa" w:w="70"/>
              <w:right w:type="dxa" w:w="110"/>
            </w:tcMar>
          </w:tcPr>
          <w:p>
            <w:r>
              <w:rPr>
                <w:b w:val="false"/>
                <w:bCs w:val="false"/>
                <w:sz w:val="19"/>
                <w:szCs w:val="19"/>
              </w:rPr>
              <w:t xml:space="preserve">Each record’s end date is set to the day before the next record begins. The final record carries the SAP high date of 31 December 9999, or the day before leaving. SAP requires continuous tiling; any gap would leave the employee with no salary for that period.</w:t>
            </w:r>
          </w:p>
        </w:tc>
      </w:tr>
    </w:tbl>
    <w:p>
      <w:pPr>
        <w:spacing w:after="160"/>
      </w:pPr>
      <w:r>
        <w:rPr>
          <w:sz w:val="14"/>
          <w:szCs w:val="14"/>
        </w:rPr>
        <w:t xml:space="preserve"/>
      </w:r>
    </w:p>
    <w:p>
      <w:pPr>
        <w:pStyle w:val="Heading2"/>
        <w:spacing w:after="110" w:before="260"/>
      </w:pPr>
      <w:r>
        <w:t xml:space="preserve">5.3 Known limitation of rule PAY-03</w:t>
      </w:r>
    </w:p>
    <w:p>
      <w:pPr>
        <w:spacing w:after="130" w:line="290"/>
      </w:pPr>
      <w:r>
        <w:rPr>
          <w:sz w:val="21"/>
          <w:szCs w:val="21"/>
        </w:rPr>
        <w:t xml:space="preserve">Rule PAY-03 cannot distinguish a mid-month salary change from a period of unpaid leave. Both produce an identical signal in the payment history: one month at a value between the surrounding periods.</w:t>
      </w:r>
    </w:p>
    <w:p>
      <w:pPr>
        <w:spacing w:after="130" w:line="290"/>
      </w:pPr>
      <w:r>
        <w:rPr>
          <w:sz w:val="21"/>
          <w:szCs w:val="21"/>
        </w:rPr>
        <w:t xml:space="preserve">The rule treats both as a mid-month change, which is correct in the first case and wrong in the second. All affected records are flagged for manual review rather than silently accepted. The volume of flagged records is reported at each dress rehearsal so the business can judge whether manual resolution is feasible.</w:t>
      </w:r>
    </w:p>
    <w:p>
      <w:pPr>
        <w:spacing w:after="130" w:line="290"/>
      </w:pPr>
      <w:r>
        <w:rPr>
          <w:sz w:val="21"/>
          <w:szCs w:val="21"/>
        </w:rPr>
        <w:t xml:space="preserve">This limitation cannot be removed by better code. It is a consequence of the source data not recording why pay changed, and stating it plainly is more useful than presenting an inferred history as though it were observed.</w:t>
      </w:r>
    </w:p>
    <w:p>
      <w:r>
        <w:br w:type="page"/>
      </w:r>
    </w:p>
    <w:p>
      <w:pPr>
        <w:pStyle w:val="Heading1"/>
        <w:spacing w:after="160" w:before="360"/>
      </w:pPr>
      <w:r>
        <w:t xml:space="preserve">6. Organisational assignment: a stated limitation</w:t>
      </w:r>
    </w:p>
    <w:p>
      <w:pPr>
        <w:spacing w:after="130" w:line="290"/>
      </w:pPr>
      <w:r>
        <w:rPr>
          <w:sz w:val="21"/>
          <w:szCs w:val="21"/>
        </w:rPr>
        <w:t xml:space="preserve">Neither source system holds organisational history. HR.net holds the employee’s current department, cost centre and location; MiraclePay holds a current payroll cost centre. Neither retains what those values were previously.</w:t>
      </w:r>
    </w:p>
    <w:p>
      <w:pPr>
        <w:spacing w:after="130" w:line="290"/>
      </w:pPr>
      <w:r>
        <w:rPr>
          <w:sz w:val="21"/>
          <w:szCs w:val="21"/>
        </w:rPr>
        <w:t xml:space="preserve">Each employee therefore receives a single PA0001 record valid from hire date to the high date, carrying the survived current values. Historical organisational assignment is not migratable from the available sources.</w:t>
      </w:r>
    </w:p>
    <w:p>
      <w:pPr>
        <w:spacing w:after="130" w:line="290"/>
      </w:pPr>
      <w:r>
        <w:rPr>
          <w:b/>
          <w:bCs/>
          <w:sz w:val="21"/>
          <w:szCs w:val="21"/>
        </w:rPr>
        <w:t xml:space="preserve">Consequence: </w:t>
      </w:r>
      <w:r>
        <w:rPr>
          <w:sz w:val="21"/>
          <w:szCs w:val="21"/>
        </w:rPr>
        <w:t xml:space="preserve">any historical payroll cost analysis performed in SAP will attribute all past cost to the employee’s current cost centre. Where an employee has transferred between departments, their historical cost will appear under the wrong department. Reports run in SAP for prior periods will therefore not reconcile to reports run in the legacy system for those same periods.</w:t>
      </w:r>
    </w:p>
    <w:p>
      <w:pPr>
        <w:spacing w:after="130" w:line="290"/>
      </w:pPr>
      <w:r>
        <w:rPr>
          <w:sz w:val="21"/>
          <w:szCs w:val="21"/>
        </w:rPr>
        <w:t xml:space="preserve">This is raised as open issue OI-01 and requires acceptance by Finance before sign-off. The alternative, which is to source organisational history from an external system or from archived reports, was considered and is not viable within the programme timeline.</w:t>
      </w:r>
    </w:p>
    <w:p>
      <w:r>
        <w:br w:type="page"/>
      </w:r>
    </w:p>
    <w:p>
      <w:pPr>
        <w:pStyle w:val="Heading1"/>
        <w:spacing w:after="160" w:before="360"/>
      </w:pPr>
      <w:r>
        <w:t xml:space="preserve">7. Standard transformations</w:t>
      </w:r>
    </w:p>
    <w:p>
      <w:pPr>
        <w:spacing w:after="130" w:line="290"/>
      </w:pPr>
      <w:r>
        <w:rPr>
          <w:sz w:val="21"/>
          <w:szCs w:val="21"/>
        </w:rPr>
        <w:t xml:space="preserve">The following named routines are applied across multiple fields. Each is defined once in the machine-readable specification and referenced by name, so the behaviour is consistent wherever it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tblHeader/>
        </w:trPr>
        <w:tc>
          <w:tcPr>
            <w:tcW w:type="dxa" w:w="2100"/>
            <w:shd w:fill="DCE3EC" w:val="clear"/>
            <w:tcMar>
              <w:top w:type="dxa" w:w="70"/>
              <w:left w:type="dxa" w:w="110"/>
              <w:bottom w:type="dxa" w:w="70"/>
              <w:right w:type="dxa" w:w="110"/>
            </w:tcMar>
          </w:tcPr>
          <w:p>
            <w:r>
              <w:rPr>
                <w:b/>
                <w:bCs/>
                <w:sz w:val="19"/>
                <w:szCs w:val="19"/>
              </w:rPr>
              <w:t xml:space="preserve">Transformation</w:t>
            </w:r>
          </w:p>
        </w:tc>
        <w:tc>
          <w:tcPr>
            <w:tcW w:type="dxa" w:w="5760"/>
            <w:shd w:fill="DCE3EC" w:val="clear"/>
            <w:tcMar>
              <w:top w:type="dxa" w:w="70"/>
              <w:left w:type="dxa" w:w="110"/>
              <w:bottom w:type="dxa" w:w="70"/>
              <w:right w:type="dxa" w:w="110"/>
            </w:tcMar>
          </w:tcPr>
          <w:p>
            <w:r>
              <w:rPr>
                <w:b/>
                <w:bCs/>
                <w:sz w:val="19"/>
                <w:szCs w:val="19"/>
              </w:rPr>
              <w:t xml:space="preserve">Behaviour</w:t>
            </w:r>
          </w:p>
        </w:tc>
        <w:tc>
          <w:tcPr>
            <w:tcW w:type="dxa" w:w="1500"/>
            <w:shd w:fill="DCE3EC" w:val="clear"/>
            <w:tcMar>
              <w:top w:type="dxa" w:w="70"/>
              <w:left w:type="dxa" w:w="110"/>
              <w:bottom w:type="dxa" w:w="70"/>
              <w:right w:type="dxa" w:w="110"/>
            </w:tcMar>
          </w:tcPr>
          <w:p>
            <w:r>
              <w:rPr>
                <w:b/>
                <w:bCs/>
                <w:sz w:val="19"/>
                <w:szCs w:val="19"/>
              </w:rPr>
              <w:t xml:space="preserve">On failure</w:t>
            </w:r>
          </w:p>
        </w:tc>
      </w:tr>
      <w:tr>
        <w:tc>
          <w:tcPr>
            <w:tcW w:type="dxa" w:w="2100"/>
            <w:tcMar>
              <w:top w:type="dxa" w:w="70"/>
              <w:left w:type="dxa" w:w="110"/>
              <w:bottom w:type="dxa" w:w="70"/>
              <w:right w:type="dxa" w:w="110"/>
            </w:tcMar>
          </w:tcPr>
          <w:p>
            <w:r>
              <w:rPr>
                <w:b w:val="false"/>
                <w:bCs w:val="false"/>
                <w:sz w:val="19"/>
                <w:szCs w:val="19"/>
              </w:rPr>
              <w:t xml:space="preserve">parse_uk_date</w:t>
            </w:r>
          </w:p>
        </w:tc>
        <w:tc>
          <w:tcPr>
            <w:tcW w:type="dxa" w:w="5760"/>
            <w:tcMar>
              <w:top w:type="dxa" w:w="70"/>
              <w:left w:type="dxa" w:w="110"/>
              <w:bottom w:type="dxa" w:w="70"/>
              <w:right w:type="dxa" w:w="110"/>
            </w:tcMar>
          </w:tcPr>
          <w:p>
            <w:r>
              <w:rPr>
                <w:b w:val="false"/>
                <w:bCs w:val="false"/>
                <w:sz w:val="19"/>
                <w:szCs w:val="19"/>
              </w:rPr>
              <w:t xml:space="preserve">Parses free-text dates in six accepted formats. Where a date could be read as either day-month or month-day, UK order is assumed; dates where the day is 12 or lower are flagged as unverifiable.</w:t>
            </w:r>
          </w:p>
        </w:tc>
        <w:tc>
          <w:tcPr>
            <w:tcW w:type="dxa" w:w="1500"/>
            <w:tcMar>
              <w:top w:type="dxa" w:w="70"/>
              <w:left w:type="dxa" w:w="110"/>
              <w:bottom w:type="dxa" w:w="70"/>
              <w:right w:type="dxa" w:w="110"/>
            </w:tcMar>
          </w:tcPr>
          <w:p>
            <w:r>
              <w:rPr>
                <w:b w:val="false"/>
                <w:bCs w:val="false"/>
                <w:sz w:val="19"/>
                <w:szCs w:val="19"/>
              </w:rPr>
              <w:t xml:space="preserve">Null, HIGH defect</w:t>
            </w:r>
          </w:p>
        </w:tc>
      </w:tr>
      <w:tr>
        <w:tc>
          <w:tcPr>
            <w:tcW w:type="dxa" w:w="2100"/>
            <w:tcMar>
              <w:top w:type="dxa" w:w="70"/>
              <w:left w:type="dxa" w:w="110"/>
              <w:bottom w:type="dxa" w:w="70"/>
              <w:right w:type="dxa" w:w="110"/>
            </w:tcMar>
          </w:tcPr>
          <w:p>
            <w:r>
              <w:rPr>
                <w:b w:val="false"/>
                <w:bCs w:val="false"/>
                <w:sz w:val="19"/>
                <w:szCs w:val="19"/>
              </w:rPr>
              <w:t xml:space="preserve">normalise_ni_number</w:t>
            </w:r>
          </w:p>
        </w:tc>
        <w:tc>
          <w:tcPr>
            <w:tcW w:type="dxa" w:w="5760"/>
            <w:tcMar>
              <w:top w:type="dxa" w:w="70"/>
              <w:left w:type="dxa" w:w="110"/>
              <w:bottom w:type="dxa" w:w="70"/>
              <w:right w:type="dxa" w:w="110"/>
            </w:tcMar>
          </w:tcPr>
          <w:p>
            <w:r>
              <w:rPr>
                <w:b w:val="false"/>
                <w:bCs w:val="false"/>
                <w:sz w:val="19"/>
                <w:szCs w:val="19"/>
              </w:rPr>
              <w:t xml:space="preserve">Uppercases and strips whitespace and punctuation, then validates against the HMRC pattern, which excludes prefixes D, F, I, Q, U and V and the second letter O.</w:t>
            </w:r>
          </w:p>
        </w:tc>
        <w:tc>
          <w:tcPr>
            <w:tcW w:type="dxa" w:w="1500"/>
            <w:tcMar>
              <w:top w:type="dxa" w:w="70"/>
              <w:left w:type="dxa" w:w="110"/>
              <w:bottom w:type="dxa" w:w="70"/>
              <w:right w:type="dxa" w:w="110"/>
            </w:tcMar>
          </w:tcPr>
          <w:p>
            <w:r>
              <w:rPr>
                <w:b w:val="false"/>
                <w:bCs w:val="false"/>
                <w:sz w:val="19"/>
                <w:szCs w:val="19"/>
              </w:rPr>
              <w:t xml:space="preserve">Null, CRITICAL defect</w:t>
            </w:r>
          </w:p>
        </w:tc>
      </w:tr>
      <w:tr>
        <w:tc>
          <w:tcPr>
            <w:tcW w:type="dxa" w:w="2100"/>
            <w:tcMar>
              <w:top w:type="dxa" w:w="70"/>
              <w:left w:type="dxa" w:w="110"/>
              <w:bottom w:type="dxa" w:w="70"/>
              <w:right w:type="dxa" w:w="110"/>
            </w:tcMar>
          </w:tcPr>
          <w:p>
            <w:r>
              <w:rPr>
                <w:b w:val="false"/>
                <w:bCs w:val="false"/>
                <w:sz w:val="19"/>
                <w:szCs w:val="19"/>
              </w:rPr>
              <w:t xml:space="preserve">normalise_uk_postcode</w:t>
            </w:r>
          </w:p>
        </w:tc>
        <w:tc>
          <w:tcPr>
            <w:tcW w:type="dxa" w:w="5760"/>
            <w:tcMar>
              <w:top w:type="dxa" w:w="70"/>
              <w:left w:type="dxa" w:w="110"/>
              <w:bottom w:type="dxa" w:w="70"/>
              <w:right w:type="dxa" w:w="110"/>
            </w:tcMar>
          </w:tcPr>
          <w:p>
            <w:r>
              <w:rPr>
                <w:b w:val="false"/>
                <w:bCs w:val="false"/>
                <w:sz w:val="19"/>
                <w:szCs w:val="19"/>
              </w:rPr>
              <w:t xml:space="preserve">Uppercases, strips whitespace, then inserts a single space before the final three characters.</w:t>
            </w:r>
          </w:p>
        </w:tc>
        <w:tc>
          <w:tcPr>
            <w:tcW w:type="dxa" w:w="1500"/>
            <w:tcMar>
              <w:top w:type="dxa" w:w="70"/>
              <w:left w:type="dxa" w:w="110"/>
              <w:bottom w:type="dxa" w:w="70"/>
              <w:right w:type="dxa" w:w="110"/>
            </w:tcMar>
          </w:tcPr>
          <w:p>
            <w:r>
              <w:rPr>
                <w:b w:val="false"/>
                <w:bCs w:val="false"/>
                <w:sz w:val="19"/>
                <w:szCs w:val="19"/>
              </w:rPr>
              <w:t xml:space="preserve">Original retained, HIGH defect</w:t>
            </w:r>
          </w:p>
        </w:tc>
      </w:tr>
      <w:tr>
        <w:tc>
          <w:tcPr>
            <w:tcW w:type="dxa" w:w="2100"/>
            <w:tcMar>
              <w:top w:type="dxa" w:w="70"/>
              <w:left w:type="dxa" w:w="110"/>
              <w:bottom w:type="dxa" w:w="70"/>
              <w:right w:type="dxa" w:w="110"/>
            </w:tcMar>
          </w:tcPr>
          <w:p>
            <w:r>
              <w:rPr>
                <w:b w:val="false"/>
                <w:bCs w:val="false"/>
                <w:sz w:val="19"/>
                <w:szCs w:val="19"/>
              </w:rPr>
              <w:t xml:space="preserve">normalise_sort_code</w:t>
            </w:r>
          </w:p>
        </w:tc>
        <w:tc>
          <w:tcPr>
            <w:tcW w:type="dxa" w:w="5760"/>
            <w:tcMar>
              <w:top w:type="dxa" w:w="70"/>
              <w:left w:type="dxa" w:w="110"/>
              <w:bottom w:type="dxa" w:w="70"/>
              <w:right w:type="dxa" w:w="110"/>
            </w:tcMar>
          </w:tcPr>
          <w:p>
            <w:r>
              <w:rPr>
                <w:b w:val="false"/>
                <w:bCs w:val="false"/>
                <w:sz w:val="19"/>
                <w:szCs w:val="19"/>
              </w:rPr>
              <w:t xml:space="preserve">Strips hyphens, spaces and full stops, then requires exactly six digits.</w:t>
            </w:r>
          </w:p>
        </w:tc>
        <w:tc>
          <w:tcPr>
            <w:tcW w:type="dxa" w:w="1500"/>
            <w:tcMar>
              <w:top w:type="dxa" w:w="70"/>
              <w:left w:type="dxa" w:w="110"/>
              <w:bottom w:type="dxa" w:w="70"/>
              <w:right w:type="dxa" w:w="110"/>
            </w:tcMar>
          </w:tcPr>
          <w:p>
            <w:r>
              <w:rPr>
                <w:b w:val="false"/>
                <w:bCs w:val="false"/>
                <w:sz w:val="19"/>
                <w:szCs w:val="19"/>
              </w:rPr>
              <w:t xml:space="preserve">Null, CRITICAL defect</w:t>
            </w:r>
          </w:p>
        </w:tc>
      </w:tr>
      <w:tr>
        <w:tc>
          <w:tcPr>
            <w:tcW w:type="dxa" w:w="2100"/>
            <w:tcMar>
              <w:top w:type="dxa" w:w="70"/>
              <w:left w:type="dxa" w:w="110"/>
              <w:bottom w:type="dxa" w:w="70"/>
              <w:right w:type="dxa" w:w="110"/>
            </w:tcMar>
          </w:tcPr>
          <w:p>
            <w:r>
              <w:rPr>
                <w:b w:val="false"/>
                <w:bCs w:val="false"/>
                <w:sz w:val="19"/>
                <w:szCs w:val="19"/>
              </w:rPr>
              <w:t xml:space="preserve">normalise_account_number</w:t>
            </w:r>
          </w:p>
        </w:tc>
        <w:tc>
          <w:tcPr>
            <w:tcW w:type="dxa" w:w="5760"/>
            <w:tcMar>
              <w:top w:type="dxa" w:w="70"/>
              <w:left w:type="dxa" w:w="110"/>
              <w:bottom w:type="dxa" w:w="70"/>
              <w:right w:type="dxa" w:w="110"/>
            </w:tcMar>
          </w:tcPr>
          <w:p>
            <w:r>
              <w:rPr>
                <w:b w:val="false"/>
                <w:bCs w:val="false"/>
                <w:sz w:val="19"/>
                <w:szCs w:val="19"/>
              </w:rPr>
              <w:t xml:space="preserve">Strips non-digits, then left-pads with zeros where six or seven digits remain. Leading zeros are routinely lost when extracts pass through spreadsheets, and padding recovers them. Numbers shorter than six digits are too damaged to recover safely.</w:t>
            </w:r>
          </w:p>
        </w:tc>
        <w:tc>
          <w:tcPr>
            <w:tcW w:type="dxa" w:w="1500"/>
            <w:tcMar>
              <w:top w:type="dxa" w:w="70"/>
              <w:left w:type="dxa" w:w="110"/>
              <w:bottom w:type="dxa" w:w="70"/>
              <w:right w:type="dxa" w:w="110"/>
            </w:tcMar>
          </w:tcPr>
          <w:p>
            <w:r>
              <w:rPr>
                <w:b w:val="false"/>
                <w:bCs w:val="false"/>
                <w:sz w:val="19"/>
                <w:szCs w:val="19"/>
              </w:rPr>
              <w:t xml:space="preserve">Null, CRITICAL defect</w:t>
            </w:r>
          </w:p>
        </w:tc>
      </w:tr>
      <w:tr>
        <w:tc>
          <w:tcPr>
            <w:tcW w:type="dxa" w:w="2100"/>
            <w:tcMar>
              <w:top w:type="dxa" w:w="70"/>
              <w:left w:type="dxa" w:w="110"/>
              <w:bottom w:type="dxa" w:w="70"/>
              <w:right w:type="dxa" w:w="110"/>
            </w:tcMar>
          </w:tcPr>
          <w:p>
            <w:r>
              <w:rPr>
                <w:b w:val="false"/>
                <w:bCs w:val="false"/>
                <w:sz w:val="19"/>
                <w:szCs w:val="19"/>
              </w:rPr>
              <w:t xml:space="preserve">normalise_fte</w:t>
            </w:r>
          </w:p>
        </w:tc>
        <w:tc>
          <w:tcPr>
            <w:tcW w:type="dxa" w:w="5760"/>
            <w:tcMar>
              <w:top w:type="dxa" w:w="70"/>
              <w:left w:type="dxa" w:w="110"/>
              <w:bottom w:type="dxa" w:w="70"/>
              <w:right w:type="dxa" w:w="110"/>
            </w:tcMar>
          </w:tcPr>
          <w:p>
            <w:r>
              <w:rPr>
                <w:b w:val="false"/>
                <w:bCs w:val="false"/>
                <w:sz w:val="19"/>
                <w:szCs w:val="19"/>
              </w:rPr>
              <w:t xml:space="preserve">Accepts decimal fractions, whole numbers and percentages with a symbol, and normalises all to a percentage between zero and one hundred.</w:t>
            </w:r>
          </w:p>
        </w:tc>
        <w:tc>
          <w:tcPr>
            <w:tcW w:type="dxa" w:w="1500"/>
            <w:tcMar>
              <w:top w:type="dxa" w:w="70"/>
              <w:left w:type="dxa" w:w="110"/>
              <w:bottom w:type="dxa" w:w="70"/>
              <w:right w:type="dxa" w:w="110"/>
            </w:tcMar>
          </w:tcPr>
          <w:p>
            <w:r>
              <w:rPr>
                <w:b w:val="false"/>
                <w:bCs w:val="false"/>
                <w:sz w:val="19"/>
                <w:szCs w:val="19"/>
              </w:rPr>
              <w:t xml:space="preserve">Defaults to 100, MEDIUM defect</w:t>
            </w:r>
          </w:p>
        </w:tc>
      </w:tr>
    </w:tbl>
    <w:p>
      <w:r>
        <w:br w:type="page"/>
      </w:r>
    </w:p>
    <w:p>
      <w:pPr>
        <w:pStyle w:val="Heading1"/>
        <w:spacing w:after="160" w:before="360"/>
      </w:pPr>
      <w:r>
        <w:t xml:space="preserve">8. Defect management</w:t>
      </w:r>
    </w:p>
    <w:p>
      <w:pPr>
        <w:spacing w:after="130" w:line="290"/>
      </w:pPr>
      <w:r>
        <w:rPr>
          <w:sz w:val="21"/>
          <w:szCs w:val="21"/>
        </w:rPr>
        <w:t xml:space="preserve">Every rule violation produces a defect at one of four severities. The severity determines whether the record loads and whether resolution is required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shd w:fill="DCE3EC" w:val="clear"/>
            <w:tcMar>
              <w:top w:type="dxa" w:w="70"/>
              <w:left w:type="dxa" w:w="110"/>
              <w:bottom w:type="dxa" w:w="70"/>
              <w:right w:type="dxa" w:w="110"/>
            </w:tcMar>
          </w:tcPr>
          <w:p>
            <w:r>
              <w:rPr>
                <w:b/>
                <w:bCs/>
                <w:sz w:val="19"/>
                <w:szCs w:val="19"/>
              </w:rPr>
              <w:t xml:space="preserve">Severity</w:t>
            </w:r>
          </w:p>
        </w:tc>
        <w:tc>
          <w:tcPr>
            <w:tcW w:type="dxa" w:w="2400"/>
            <w:shd w:fill="DCE3EC" w:val="clear"/>
            <w:tcMar>
              <w:top w:type="dxa" w:w="70"/>
              <w:left w:type="dxa" w:w="110"/>
              <w:bottom w:type="dxa" w:w="70"/>
              <w:right w:type="dxa" w:w="110"/>
            </w:tcMar>
          </w:tcPr>
          <w:p>
            <w:r>
              <w:rPr>
                <w:b/>
                <w:bCs/>
                <w:sz w:val="19"/>
                <w:szCs w:val="19"/>
              </w:rPr>
              <w:t xml:space="preserve">Definition</w:t>
            </w:r>
          </w:p>
        </w:tc>
        <w:tc>
          <w:tcPr>
            <w:tcW w:type="dxa" w:w="2400"/>
            <w:shd w:fill="DCE3EC" w:val="clear"/>
            <w:tcMar>
              <w:top w:type="dxa" w:w="70"/>
              <w:left w:type="dxa" w:w="110"/>
              <w:bottom w:type="dxa" w:w="70"/>
              <w:right w:type="dxa" w:w="110"/>
            </w:tcMar>
          </w:tcPr>
          <w:p>
            <w:r>
              <w:rPr>
                <w:b/>
                <w:bCs/>
                <w:sz w:val="19"/>
                <w:szCs w:val="19"/>
              </w:rPr>
              <w:t xml:space="preserve">Action</w:t>
            </w:r>
          </w:p>
        </w:tc>
        <w:tc>
          <w:tcPr>
            <w:tcW w:type="dxa" w:w="3360"/>
            <w:shd w:fill="DCE3EC" w:val="clear"/>
            <w:tcMar>
              <w:top w:type="dxa" w:w="70"/>
              <w:left w:type="dxa" w:w="110"/>
              <w:bottom w:type="dxa" w:w="70"/>
              <w:right w:type="dxa" w:w="110"/>
            </w:tcMar>
          </w:tcPr>
          <w:p>
            <w:r>
              <w:rPr>
                <w:b/>
                <w:bCs/>
                <w:sz w:val="19"/>
                <w:szCs w:val="19"/>
              </w:rPr>
              <w:t xml:space="preserve">Examples</w:t>
            </w:r>
          </w:p>
        </w:tc>
      </w:tr>
      <w:tr>
        <w:tc>
          <w:tcPr>
            <w:tcW w:type="dxa" w:w="1200"/>
            <w:tcMar>
              <w:top w:type="dxa" w:w="70"/>
              <w:left w:type="dxa" w:w="110"/>
              <w:bottom w:type="dxa" w:w="70"/>
              <w:right w:type="dxa" w:w="110"/>
            </w:tcMar>
          </w:tcPr>
          <w:p>
            <w:r>
              <w:rPr>
                <w:b w:val="false"/>
                <w:bCs w:val="false"/>
                <w:sz w:val="19"/>
                <w:szCs w:val="19"/>
              </w:rPr>
              <w:t xml:space="preserve">CRITICAL</w:t>
            </w:r>
          </w:p>
        </w:tc>
        <w:tc>
          <w:tcPr>
            <w:tcW w:type="dxa" w:w="2400"/>
            <w:tcMar>
              <w:top w:type="dxa" w:w="70"/>
              <w:left w:type="dxa" w:w="110"/>
              <w:bottom w:type="dxa" w:w="70"/>
              <w:right w:type="dxa" w:w="110"/>
            </w:tcMar>
          </w:tcPr>
          <w:p>
            <w:r>
              <w:rPr>
                <w:b w:val="false"/>
                <w:bCs w:val="false"/>
                <w:sz w:val="19"/>
                <w:szCs w:val="19"/>
              </w:rPr>
              <w:t xml:space="preserve">Prevents payment or breaches a statutory obligation.</w:t>
            </w:r>
          </w:p>
        </w:tc>
        <w:tc>
          <w:tcPr>
            <w:tcW w:type="dxa" w:w="2400"/>
            <w:tcMar>
              <w:top w:type="dxa" w:w="70"/>
              <w:left w:type="dxa" w:w="110"/>
              <w:bottom w:type="dxa" w:w="70"/>
              <w:right w:type="dxa" w:w="110"/>
            </w:tcMar>
          </w:tcPr>
          <w:p>
            <w:r>
              <w:rPr>
                <w:b w:val="false"/>
                <w:bCs w:val="false"/>
                <w:sz w:val="19"/>
                <w:szCs w:val="19"/>
              </w:rPr>
              <w:t xml:space="preserve">Record rejected. Must be resolved before go-live.</w:t>
            </w:r>
          </w:p>
        </w:tc>
        <w:tc>
          <w:tcPr>
            <w:tcW w:type="dxa" w:w="3360"/>
            <w:tcMar>
              <w:top w:type="dxa" w:w="70"/>
              <w:left w:type="dxa" w:w="110"/>
              <w:bottom w:type="dxa" w:w="70"/>
              <w:right w:type="dxa" w:w="110"/>
            </w:tcMar>
          </w:tcPr>
          <w:p>
            <w:r>
              <w:rPr>
                <w:b w:val="false"/>
                <w:bCs w:val="false"/>
                <w:sz w:val="19"/>
                <w:szCs w:val="19"/>
              </w:rPr>
              <w:t xml:space="preserve">Invalid NI number; invalid bank details; conflicting date of birth; employee paid after leaving date.</w:t>
            </w:r>
          </w:p>
        </w:tc>
      </w:tr>
      <w:tr>
        <w:tc>
          <w:tcPr>
            <w:tcW w:type="dxa" w:w="1200"/>
            <w:tcMar>
              <w:top w:type="dxa" w:w="70"/>
              <w:left w:type="dxa" w:w="110"/>
              <w:bottom w:type="dxa" w:w="70"/>
              <w:right w:type="dxa" w:w="110"/>
            </w:tcMar>
          </w:tcPr>
          <w:p>
            <w:r>
              <w:rPr>
                <w:b w:val="false"/>
                <w:bCs w:val="false"/>
                <w:sz w:val="19"/>
                <w:szCs w:val="19"/>
              </w:rPr>
              <w:t xml:space="preserve">HIGH</w:t>
            </w:r>
          </w:p>
        </w:tc>
        <w:tc>
          <w:tcPr>
            <w:tcW w:type="dxa" w:w="2400"/>
            <w:tcMar>
              <w:top w:type="dxa" w:w="70"/>
              <w:left w:type="dxa" w:w="110"/>
              <w:bottom w:type="dxa" w:w="70"/>
              <w:right w:type="dxa" w:w="110"/>
            </w:tcMar>
          </w:tcPr>
          <w:p>
            <w:r>
              <w:rPr>
                <w:b w:val="false"/>
                <w:bCs w:val="false"/>
                <w:sz w:val="19"/>
                <w:szCs w:val="19"/>
              </w:rPr>
              <w:t xml:space="preserve">Record loads but is materially incorrect or incomplete.</w:t>
            </w:r>
          </w:p>
        </w:tc>
        <w:tc>
          <w:tcPr>
            <w:tcW w:type="dxa" w:w="2400"/>
            <w:tcMar>
              <w:top w:type="dxa" w:w="70"/>
              <w:left w:type="dxa" w:w="110"/>
              <w:bottom w:type="dxa" w:w="70"/>
              <w:right w:type="dxa" w:w="110"/>
            </w:tcMar>
          </w:tcPr>
          <w:p>
            <w:r>
              <w:rPr>
                <w:b w:val="false"/>
                <w:bCs w:val="false"/>
                <w:sz w:val="19"/>
                <w:szCs w:val="19"/>
              </w:rPr>
              <w:t xml:space="preserve">Loaded with defect raised. Resolution required before go-live.</w:t>
            </w:r>
          </w:p>
        </w:tc>
        <w:tc>
          <w:tcPr>
            <w:tcW w:type="dxa" w:w="3360"/>
            <w:tcMar>
              <w:top w:type="dxa" w:w="70"/>
              <w:left w:type="dxa" w:w="110"/>
              <w:bottom w:type="dxa" w:w="70"/>
              <w:right w:type="dxa" w:w="110"/>
            </w:tcMar>
          </w:tcPr>
          <w:p>
            <w:r>
              <w:rPr>
                <w:b w:val="false"/>
                <w:bCs w:val="false"/>
                <w:sz w:val="19"/>
                <w:szCs w:val="19"/>
              </w:rPr>
              <w:t xml:space="preserve">Unparseable employment date; invalid postcode; unmapped employment status.</w:t>
            </w:r>
          </w:p>
        </w:tc>
      </w:tr>
      <w:tr>
        <w:tc>
          <w:tcPr>
            <w:tcW w:type="dxa" w:w="1200"/>
            <w:tcMar>
              <w:top w:type="dxa" w:w="70"/>
              <w:left w:type="dxa" w:w="110"/>
              <w:bottom w:type="dxa" w:w="70"/>
              <w:right w:type="dxa" w:w="110"/>
            </w:tcMar>
          </w:tcPr>
          <w:p>
            <w:r>
              <w:rPr>
                <w:b w:val="false"/>
                <w:bCs w:val="false"/>
                <w:sz w:val="19"/>
                <w:szCs w:val="19"/>
              </w:rPr>
              <w:t xml:space="preserve">MEDIUM</w:t>
            </w:r>
          </w:p>
        </w:tc>
        <w:tc>
          <w:tcPr>
            <w:tcW w:type="dxa" w:w="2400"/>
            <w:tcMar>
              <w:top w:type="dxa" w:w="70"/>
              <w:left w:type="dxa" w:w="110"/>
              <w:bottom w:type="dxa" w:w="70"/>
              <w:right w:type="dxa" w:w="110"/>
            </w:tcMar>
          </w:tcPr>
          <w:p>
            <w:r>
              <w:rPr>
                <w:b w:val="false"/>
                <w:bCs w:val="false"/>
                <w:sz w:val="19"/>
                <w:szCs w:val="19"/>
              </w:rPr>
              <w:t xml:space="preserve">Record loads with a documented assumption applied.</w:t>
            </w:r>
          </w:p>
        </w:tc>
        <w:tc>
          <w:tcPr>
            <w:tcW w:type="dxa" w:w="2400"/>
            <w:tcMar>
              <w:top w:type="dxa" w:w="70"/>
              <w:left w:type="dxa" w:w="110"/>
              <w:bottom w:type="dxa" w:w="70"/>
              <w:right w:type="dxa" w:w="110"/>
            </w:tcMar>
          </w:tcPr>
          <w:p>
            <w:r>
              <w:rPr>
                <w:b w:val="false"/>
                <w:bCs w:val="false"/>
                <w:sz w:val="19"/>
                <w:szCs w:val="19"/>
              </w:rPr>
              <w:t xml:space="preserve">Loaded. Reviewed as a batch. Resolution optional.</w:t>
            </w:r>
          </w:p>
        </w:tc>
        <w:tc>
          <w:tcPr>
            <w:tcW w:type="dxa" w:w="3360"/>
            <w:tcMar>
              <w:top w:type="dxa" w:w="70"/>
              <w:left w:type="dxa" w:w="110"/>
              <w:bottom w:type="dxa" w:w="70"/>
              <w:right w:type="dxa" w:w="110"/>
            </w:tcMar>
          </w:tcPr>
          <w:p>
            <w:r>
              <w:rPr>
                <w:b w:val="false"/>
                <w:bCs w:val="false"/>
                <w:sz w:val="19"/>
                <w:szCs w:val="19"/>
              </w:rPr>
              <w:t xml:space="preserve">Cost centre conflict resolved by survivorship; location absent from the mapping table; account holder name differs from employee name.</w:t>
            </w:r>
          </w:p>
        </w:tc>
      </w:tr>
      <w:tr>
        <w:tc>
          <w:tcPr>
            <w:tcW w:type="dxa" w:w="1200"/>
            <w:tcMar>
              <w:top w:type="dxa" w:w="70"/>
              <w:left w:type="dxa" w:w="110"/>
              <w:bottom w:type="dxa" w:w="70"/>
              <w:right w:type="dxa" w:w="110"/>
            </w:tcMar>
          </w:tcPr>
          <w:p>
            <w:r>
              <w:rPr>
                <w:b w:val="false"/>
                <w:bCs w:val="false"/>
                <w:sz w:val="19"/>
                <w:szCs w:val="19"/>
              </w:rPr>
              <w:t xml:space="preserve">LOW</w:t>
            </w:r>
          </w:p>
        </w:tc>
        <w:tc>
          <w:tcPr>
            <w:tcW w:type="dxa" w:w="2400"/>
            <w:tcMar>
              <w:top w:type="dxa" w:w="70"/>
              <w:left w:type="dxa" w:w="110"/>
              <w:bottom w:type="dxa" w:w="70"/>
              <w:right w:type="dxa" w:w="110"/>
            </w:tcMar>
          </w:tcPr>
          <w:p>
            <w:r>
              <w:rPr>
                <w:b w:val="false"/>
                <w:bCs w:val="false"/>
                <w:sz w:val="19"/>
                <w:szCs w:val="19"/>
              </w:rPr>
              <w:t xml:space="preserve">Cosmetic or low-impact difference.</w:t>
            </w:r>
          </w:p>
        </w:tc>
        <w:tc>
          <w:tcPr>
            <w:tcW w:type="dxa" w:w="2400"/>
            <w:tcMar>
              <w:top w:type="dxa" w:w="70"/>
              <w:left w:type="dxa" w:w="110"/>
              <w:bottom w:type="dxa" w:w="70"/>
              <w:right w:type="dxa" w:w="110"/>
            </w:tcMar>
          </w:tcPr>
          <w:p>
            <w:r>
              <w:rPr>
                <w:b w:val="false"/>
                <w:bCs w:val="false"/>
                <w:sz w:val="19"/>
                <w:szCs w:val="19"/>
              </w:rPr>
              <w:t xml:space="preserve">Logged only. No action required.</w:t>
            </w:r>
          </w:p>
        </w:tc>
        <w:tc>
          <w:tcPr>
            <w:tcW w:type="dxa" w:w="3360"/>
            <w:tcMar>
              <w:top w:type="dxa" w:w="70"/>
              <w:left w:type="dxa" w:w="110"/>
              <w:bottom w:type="dxa" w:w="70"/>
              <w:right w:type="dxa" w:w="110"/>
            </w:tcMar>
          </w:tcPr>
          <w:p>
            <w:r>
              <w:rPr>
                <w:b w:val="false"/>
                <w:bCs w:val="false"/>
                <w:sz w:val="19"/>
                <w:szCs w:val="19"/>
              </w:rPr>
              <w:t xml:space="preserve">Name formatting difference between sources; unmapped marital status.</w:t>
            </w:r>
          </w:p>
        </w:tc>
      </w:tr>
    </w:tbl>
    <w:p>
      <w:pPr>
        <w:spacing w:after="160"/>
      </w:pPr>
      <w:r>
        <w:rPr>
          <w:sz w:val="14"/>
          <w:szCs w:val="14"/>
        </w:rPr>
        <w:t xml:space="preserve"/>
      </w:r>
    </w:p>
    <w:p>
      <w:pPr>
        <w:spacing w:after="130" w:line="290"/>
      </w:pPr>
      <w:r>
        <w:rPr>
          <w:sz w:val="21"/>
          <w:szCs w:val="21"/>
        </w:rPr>
        <w:t xml:space="preserve">No record is ever silently dropped. Records that fail validation are written to the migration rejects table with their reason, severity and full original payload. The exception report accounts for the entire difference between source and target record counts, which is what allows reconciliation to demonstrate completeness rather than assert it.</w:t>
      </w:r>
    </w:p>
    <w:p>
      <w:r>
        <w:br w:type="page"/>
      </w:r>
    </w:p>
    <w:p>
      <w:pPr>
        <w:pStyle w:val="Heading1"/>
        <w:spacing w:after="160" w:before="360"/>
      </w:pPr>
      <w:r>
        <w:t xml:space="preserve">9. Assumptions</w:t>
      </w:r>
    </w:p>
    <w:p>
      <w:pPr>
        <w:spacing w:after="130" w:line="290"/>
      </w:pPr>
      <w:r>
        <w:rPr>
          <w:sz w:val="21"/>
          <w:szCs w:val="21"/>
        </w:rPr>
        <w:t xml:space="preserve">The following assumptions underpin the mapping. Each has been applied because the source data does not permit a definitive answer. If any is rejected by the business, the corresponding mapping rule must be revised before the next dress rehearsal.</w:t>
      </w:r>
    </w:p>
    <w:p>
      <w:pPr>
        <w:pStyle w:val="ListParagraph"/>
        <w:numPr>
          <w:ilvl w:val="0"/>
          <w:numId w:val="2"/>
        </w:numPr>
        <w:spacing w:after="90" w:line="290"/>
      </w:pPr>
      <w:r>
        <w:rPr>
          <w:sz w:val="21"/>
          <w:szCs w:val="21"/>
        </w:rPr>
        <w:t xml:space="preserve">A1. Where a date is ambiguous between day-month and month-day order, UK convention applies.</w:t>
      </w:r>
    </w:p>
    <w:p>
      <w:pPr>
        <w:pStyle w:val="ListParagraph"/>
        <w:numPr>
          <w:ilvl w:val="0"/>
          <w:numId w:val="2"/>
        </w:numPr>
        <w:spacing w:after="90" w:line="290"/>
      </w:pPr>
      <w:r>
        <w:rPr>
          <w:sz w:val="21"/>
          <w:szCs w:val="21"/>
        </w:rPr>
        <w:t xml:space="preserve">A2. Bank account numbers of six or seven digits have lost leading zeros in extraction and may be safely left-padded.</w:t>
      </w:r>
    </w:p>
    <w:p>
      <w:pPr>
        <w:pStyle w:val="ListParagraph"/>
        <w:numPr>
          <w:ilvl w:val="0"/>
          <w:numId w:val="2"/>
        </w:numPr>
        <w:spacing w:after="90" w:line="290"/>
      </w:pPr>
      <w:r>
        <w:rPr>
          <w:sz w:val="21"/>
          <w:szCs w:val="21"/>
        </w:rPr>
        <w:t xml:space="preserve">A3. Basic pay is a reliable proxy for contractual salary, and variable pay elements do not indicate salary change.</w:t>
      </w:r>
    </w:p>
    <w:p>
      <w:pPr>
        <w:pStyle w:val="ListParagraph"/>
        <w:numPr>
          <w:ilvl w:val="0"/>
          <w:numId w:val="2"/>
        </w:numPr>
        <w:spacing w:after="90" w:line="290"/>
      </w:pPr>
      <w:r>
        <w:rPr>
          <w:sz w:val="21"/>
          <w:szCs w:val="21"/>
        </w:rPr>
        <w:t xml:space="preserve">A4. A pay period at a value between its neighbours indicates a mid-month salary change rather than partial absence.</w:t>
      </w:r>
    </w:p>
    <w:p>
      <w:pPr>
        <w:pStyle w:val="ListParagraph"/>
        <w:numPr>
          <w:ilvl w:val="0"/>
          <w:numId w:val="2"/>
        </w:numPr>
        <w:spacing w:after="90" w:line="290"/>
      </w:pPr>
      <w:r>
        <w:rPr>
          <w:sz w:val="21"/>
          <w:szCs w:val="21"/>
        </w:rPr>
        <w:t xml:space="preserve">A5. The payroll cost centre is the correct value where it conflicts with HR, because it determines general ledger posting.</w:t>
      </w:r>
    </w:p>
    <w:p>
      <w:pPr>
        <w:pStyle w:val="ListParagraph"/>
        <w:numPr>
          <w:ilvl w:val="0"/>
          <w:numId w:val="2"/>
        </w:numPr>
        <w:spacing w:after="90" w:line="290"/>
      </w:pPr>
      <w:r>
        <w:rPr>
          <w:sz w:val="21"/>
          <w:szCs w:val="21"/>
        </w:rPr>
        <w:t xml:space="preserve">A6. HR is the system of record for employee identity where it conflicts with payroll.</w:t>
      </w:r>
    </w:p>
    <w:p>
      <w:pPr>
        <w:pStyle w:val="ListParagraph"/>
        <w:numPr>
          <w:ilvl w:val="0"/>
          <w:numId w:val="2"/>
        </w:numPr>
        <w:spacing w:after="90" w:line="290"/>
      </w:pPr>
      <w:r>
        <w:rPr>
          <w:sz w:val="21"/>
          <w:szCs w:val="21"/>
        </w:rPr>
        <w:t xml:space="preserve">A7. Employees hired before the payment history window began were on their earliest observed salary from hire date.</w:t>
      </w:r>
    </w:p>
    <w:p>
      <w:pPr>
        <w:pStyle w:val="ListParagraph"/>
        <w:numPr>
          <w:ilvl w:val="0"/>
          <w:numId w:val="2"/>
        </w:numPr>
        <w:spacing w:after="90" w:line="290"/>
      </w:pPr>
      <w:r>
        <w:rPr>
          <w:sz w:val="21"/>
          <w:szCs w:val="21"/>
        </w:rPr>
        <w:t xml:space="preserve">A8. A single company code of 1000 applies to the entire population.</w:t>
      </w:r>
    </w:p>
    <w:p>
      <w:pPr>
        <w:pStyle w:val="ListParagraph"/>
        <w:numPr>
          <w:ilvl w:val="0"/>
          <w:numId w:val="2"/>
        </w:numPr>
        <w:spacing w:after="90" w:line="290"/>
      </w:pPr>
      <w:r>
        <w:rPr>
          <w:sz w:val="21"/>
          <w:szCs w:val="21"/>
        </w:rPr>
        <w:t xml:space="preserve">A9. Where no gender is recorded, the SAP value for not specified is appropriate rather than rejecting the record.</w:t>
      </w:r>
    </w:p>
    <w:p>
      <w:r>
        <w:br w:type="page"/>
      </w:r>
    </w:p>
    <w:p>
      <w:pPr>
        <w:pStyle w:val="Heading1"/>
        <w:spacing w:after="160" w:before="360"/>
      </w:pPr>
      <w:r>
        <w:t xml:space="preserve">10. Open issues</w:t>
      </w:r>
    </w:p>
    <w:p>
      <w:pPr>
        <w:spacing w:after="130" w:line="290"/>
      </w:pPr>
      <w:r>
        <w:rPr>
          <w:sz w:val="21"/>
          <w:szCs w:val="21"/>
        </w:rPr>
        <w:t xml:space="preserve">The following require a business decision before this specification can be signed off. A specification with no open issues has not been examined closely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2500"/>
        <w:gridCol w:w="1100"/>
        <w:gridCol w:w="1400"/>
      </w:tblGrid>
      <w:tr>
        <w:trPr>
          <w:tblHeader/>
        </w:trPr>
        <w:tc>
          <w:tcPr>
            <w:tcW w:type="dxa" w:w="700"/>
            <w:shd w:fill="DCE3EC" w:val="clear"/>
            <w:tcMar>
              <w:top w:type="dxa" w:w="70"/>
              <w:left w:type="dxa" w:w="110"/>
              <w:bottom w:type="dxa" w:w="70"/>
              <w:right w:type="dxa" w:w="110"/>
            </w:tcMar>
          </w:tcPr>
          <w:p>
            <w:r>
              <w:rPr>
                <w:b/>
                <w:bCs/>
                <w:sz w:val="19"/>
                <w:szCs w:val="19"/>
              </w:rPr>
              <w:t xml:space="preserve">Ref</w:t>
            </w:r>
          </w:p>
        </w:tc>
        <w:tc>
          <w:tcPr>
            <w:tcW w:type="dxa" w:w="3660"/>
            <w:shd w:fill="DCE3EC" w:val="clear"/>
            <w:tcMar>
              <w:top w:type="dxa" w:w="70"/>
              <w:left w:type="dxa" w:w="110"/>
              <w:bottom w:type="dxa" w:w="70"/>
              <w:right w:type="dxa" w:w="110"/>
            </w:tcMar>
          </w:tcPr>
          <w:p>
            <w:r>
              <w:rPr>
                <w:b/>
                <w:bCs/>
                <w:sz w:val="19"/>
                <w:szCs w:val="19"/>
              </w:rPr>
              <w:t xml:space="preserve">Issue</w:t>
            </w:r>
          </w:p>
        </w:tc>
        <w:tc>
          <w:tcPr>
            <w:tcW w:type="dxa" w:w="2500"/>
            <w:shd w:fill="DCE3EC" w:val="clear"/>
            <w:tcMar>
              <w:top w:type="dxa" w:w="70"/>
              <w:left w:type="dxa" w:w="110"/>
              <w:bottom w:type="dxa" w:w="70"/>
              <w:right w:type="dxa" w:w="110"/>
            </w:tcMar>
          </w:tcPr>
          <w:p>
            <w:r>
              <w:rPr>
                <w:b/>
                <w:bCs/>
                <w:sz w:val="19"/>
                <w:szCs w:val="19"/>
              </w:rPr>
              <w:t xml:space="preserve">Impact</w:t>
            </w:r>
          </w:p>
        </w:tc>
        <w:tc>
          <w:tcPr>
            <w:tcW w:type="dxa" w:w="1100"/>
            <w:shd w:fill="DCE3EC" w:val="clear"/>
            <w:tcMar>
              <w:top w:type="dxa" w:w="70"/>
              <w:left w:type="dxa" w:w="110"/>
              <w:bottom w:type="dxa" w:w="70"/>
              <w:right w:type="dxa" w:w="110"/>
            </w:tcMar>
          </w:tcPr>
          <w:p>
            <w:r>
              <w:rPr>
                <w:b/>
                <w:bCs/>
                <w:sz w:val="19"/>
                <w:szCs w:val="19"/>
              </w:rPr>
              <w:t xml:space="preserve">Owner</w:t>
            </w:r>
          </w:p>
        </w:tc>
        <w:tc>
          <w:tcPr>
            <w:tcW w:type="dxa" w:w="1400"/>
            <w:shd w:fill="DCE3EC" w:val="clear"/>
            <w:tcMar>
              <w:top w:type="dxa" w:w="70"/>
              <w:left w:type="dxa" w:w="110"/>
              <w:bottom w:type="dxa" w:w="70"/>
              <w:right w:type="dxa" w:w="110"/>
            </w:tcMar>
          </w:tcPr>
          <w:p>
            <w:r>
              <w:rPr>
                <w:b/>
                <w:bCs/>
                <w:sz w:val="19"/>
                <w:szCs w:val="19"/>
              </w:rPr>
              <w:t xml:space="preserve">Status</w:t>
            </w:r>
          </w:p>
        </w:tc>
      </w:tr>
      <w:tr>
        <w:tc>
          <w:tcPr>
            <w:tcW w:type="dxa" w:w="700"/>
            <w:tcMar>
              <w:top w:type="dxa" w:w="70"/>
              <w:left w:type="dxa" w:w="110"/>
              <w:bottom w:type="dxa" w:w="70"/>
              <w:right w:type="dxa" w:w="110"/>
            </w:tcMar>
          </w:tcPr>
          <w:p>
            <w:r>
              <w:rPr>
                <w:b w:val="false"/>
                <w:bCs w:val="false"/>
                <w:sz w:val="19"/>
                <w:szCs w:val="19"/>
              </w:rPr>
              <w:t xml:space="preserve">OI-01</w:t>
            </w:r>
          </w:p>
        </w:tc>
        <w:tc>
          <w:tcPr>
            <w:tcW w:type="dxa" w:w="3660"/>
            <w:tcMar>
              <w:top w:type="dxa" w:w="70"/>
              <w:left w:type="dxa" w:w="110"/>
              <w:bottom w:type="dxa" w:w="70"/>
              <w:right w:type="dxa" w:w="110"/>
            </w:tcMar>
          </w:tcPr>
          <w:p>
            <w:r>
              <w:rPr>
                <w:b w:val="false"/>
                <w:bCs w:val="false"/>
                <w:sz w:val="19"/>
                <w:szCs w:val="19"/>
              </w:rPr>
              <w:t xml:space="preserve">Historical organisational assignment is not migratable. All historical payroll cost will attribute to the current cost centre.</w:t>
            </w:r>
          </w:p>
        </w:tc>
        <w:tc>
          <w:tcPr>
            <w:tcW w:type="dxa" w:w="2500"/>
            <w:tcMar>
              <w:top w:type="dxa" w:w="70"/>
              <w:left w:type="dxa" w:w="110"/>
              <w:bottom w:type="dxa" w:w="70"/>
              <w:right w:type="dxa" w:w="110"/>
            </w:tcMar>
          </w:tcPr>
          <w:p>
            <w:r>
              <w:rPr>
                <w:b w:val="false"/>
                <w:bCs w:val="false"/>
                <w:sz w:val="19"/>
                <w:szCs w:val="19"/>
              </w:rPr>
              <w:t xml:space="preserve">Historical cost reporting in SAP will not reconcile to legacy reports.</w:t>
            </w:r>
          </w:p>
        </w:tc>
        <w:tc>
          <w:tcPr>
            <w:tcW w:type="dxa" w:w="1100"/>
            <w:tcMar>
              <w:top w:type="dxa" w:w="70"/>
              <w:left w:type="dxa" w:w="110"/>
              <w:bottom w:type="dxa" w:w="70"/>
              <w:right w:type="dxa" w:w="110"/>
            </w:tcMar>
          </w:tcPr>
          <w:p>
            <w:r>
              <w:rPr>
                <w:b w:val="false"/>
                <w:bCs w:val="false"/>
                <w:sz w:val="19"/>
                <w:szCs w:val="19"/>
              </w:rPr>
              <w:t xml:space="preserve">Finance</w:t>
            </w:r>
          </w:p>
        </w:tc>
        <w:tc>
          <w:tcPr>
            <w:tcW w:type="dxa" w:w="1400"/>
            <w:tcMar>
              <w:top w:type="dxa" w:w="70"/>
              <w:left w:type="dxa" w:w="110"/>
              <w:bottom w:type="dxa" w:w="70"/>
              <w:right w:type="dxa" w:w="110"/>
            </w:tcMar>
          </w:tcPr>
          <w:p>
            <w:r>
              <w:rPr>
                <w:b w:val="false"/>
                <w:bCs w:val="false"/>
                <w:sz w:val="19"/>
                <w:szCs w:val="19"/>
              </w:rPr>
              <w:t xml:space="preserve">OPEN</w:t>
            </w:r>
          </w:p>
        </w:tc>
      </w:tr>
      <w:tr>
        <w:tc>
          <w:tcPr>
            <w:tcW w:type="dxa" w:w="700"/>
            <w:tcMar>
              <w:top w:type="dxa" w:w="70"/>
              <w:left w:type="dxa" w:w="110"/>
              <w:bottom w:type="dxa" w:w="70"/>
              <w:right w:type="dxa" w:w="110"/>
            </w:tcMar>
          </w:tcPr>
          <w:p>
            <w:r>
              <w:rPr>
                <w:b w:val="false"/>
                <w:bCs w:val="false"/>
                <w:sz w:val="19"/>
                <w:szCs w:val="19"/>
              </w:rPr>
              <w:t xml:space="preserve">OI-02</w:t>
            </w:r>
          </w:p>
        </w:tc>
        <w:tc>
          <w:tcPr>
            <w:tcW w:type="dxa" w:w="3660"/>
            <w:tcMar>
              <w:top w:type="dxa" w:w="70"/>
              <w:left w:type="dxa" w:w="110"/>
              <w:bottom w:type="dxa" w:w="70"/>
              <w:right w:type="dxa" w:w="110"/>
            </w:tcMar>
          </w:tcPr>
          <w:p>
            <w:r>
              <w:rPr>
                <w:b w:val="false"/>
                <w:bCs w:val="false"/>
                <w:sz w:val="19"/>
                <w:szCs w:val="19"/>
              </w:rPr>
              <w:t xml:space="preserve">Salary history before the payment history window is back-dated at the earliest observed salary.</w:t>
            </w:r>
          </w:p>
        </w:tc>
        <w:tc>
          <w:tcPr>
            <w:tcW w:type="dxa" w:w="2500"/>
            <w:tcMar>
              <w:top w:type="dxa" w:w="70"/>
              <w:left w:type="dxa" w:w="110"/>
              <w:bottom w:type="dxa" w:w="70"/>
              <w:right w:type="dxa" w:w="110"/>
            </w:tcMar>
          </w:tcPr>
          <w:p>
            <w:r>
              <w:rPr>
                <w:b w:val="false"/>
                <w:bCs w:val="false"/>
                <w:sz w:val="19"/>
                <w:szCs w:val="19"/>
              </w:rPr>
              <w:t xml:space="preserve">Long-serving employees will show an inaccurate early salary.</w:t>
            </w:r>
          </w:p>
        </w:tc>
        <w:tc>
          <w:tcPr>
            <w:tcW w:type="dxa" w:w="1100"/>
            <w:tcMar>
              <w:top w:type="dxa" w:w="70"/>
              <w:left w:type="dxa" w:w="110"/>
              <w:bottom w:type="dxa" w:w="70"/>
              <w:right w:type="dxa" w:w="110"/>
            </w:tcMar>
          </w:tcPr>
          <w:p>
            <w:r>
              <w:rPr>
                <w:b w:val="false"/>
                <w:bCs w:val="false"/>
                <w:sz w:val="19"/>
                <w:szCs w:val="19"/>
              </w:rPr>
              <w:t xml:space="preserve">HR</w:t>
            </w:r>
          </w:p>
        </w:tc>
        <w:tc>
          <w:tcPr>
            <w:tcW w:type="dxa" w:w="1400"/>
            <w:tcMar>
              <w:top w:type="dxa" w:w="70"/>
              <w:left w:type="dxa" w:w="110"/>
              <w:bottom w:type="dxa" w:w="70"/>
              <w:right w:type="dxa" w:w="110"/>
            </w:tcMar>
          </w:tcPr>
          <w:p>
            <w:r>
              <w:rPr>
                <w:b w:val="false"/>
                <w:bCs w:val="false"/>
                <w:sz w:val="19"/>
                <w:szCs w:val="19"/>
              </w:rPr>
              <w:t xml:space="preserve">OPEN</w:t>
            </w:r>
          </w:p>
        </w:tc>
      </w:tr>
      <w:tr>
        <w:tc>
          <w:tcPr>
            <w:tcW w:type="dxa" w:w="700"/>
            <w:tcMar>
              <w:top w:type="dxa" w:w="70"/>
              <w:left w:type="dxa" w:w="110"/>
              <w:bottom w:type="dxa" w:w="70"/>
              <w:right w:type="dxa" w:w="110"/>
            </w:tcMar>
          </w:tcPr>
          <w:p>
            <w:r>
              <w:rPr>
                <w:b w:val="false"/>
                <w:bCs w:val="false"/>
                <w:sz w:val="19"/>
                <w:szCs w:val="19"/>
              </w:rPr>
              <w:t xml:space="preserve">OI-03</w:t>
            </w:r>
          </w:p>
        </w:tc>
        <w:tc>
          <w:tcPr>
            <w:tcW w:type="dxa" w:w="3660"/>
            <w:tcMar>
              <w:top w:type="dxa" w:w="70"/>
              <w:left w:type="dxa" w:w="110"/>
              <w:bottom w:type="dxa" w:w="70"/>
              <w:right w:type="dxa" w:w="110"/>
            </w:tcMar>
          </w:tcPr>
          <w:p>
            <w:r>
              <w:rPr>
                <w:b w:val="false"/>
                <w:bCs w:val="false"/>
                <w:sz w:val="19"/>
                <w:szCs w:val="19"/>
              </w:rPr>
              <w:t xml:space="preserve">Mid-month pay changes cannot be distinguished from unpaid leave.</w:t>
            </w:r>
          </w:p>
        </w:tc>
        <w:tc>
          <w:tcPr>
            <w:tcW w:type="dxa" w:w="2500"/>
            <w:tcMar>
              <w:top w:type="dxa" w:w="70"/>
              <w:left w:type="dxa" w:w="110"/>
              <w:bottom w:type="dxa" w:w="70"/>
              <w:right w:type="dxa" w:w="110"/>
            </w:tcMar>
          </w:tcPr>
          <w:p>
            <w:r>
              <w:rPr>
                <w:b w:val="false"/>
                <w:bCs w:val="false"/>
                <w:sz w:val="19"/>
                <w:szCs w:val="19"/>
              </w:rPr>
              <w:t xml:space="preserve">Manual review required for all flagged records. Volume reported per rehearsal.</w:t>
            </w:r>
          </w:p>
        </w:tc>
        <w:tc>
          <w:tcPr>
            <w:tcW w:type="dxa" w:w="1100"/>
            <w:tcMar>
              <w:top w:type="dxa" w:w="70"/>
              <w:left w:type="dxa" w:w="110"/>
              <w:bottom w:type="dxa" w:w="70"/>
              <w:right w:type="dxa" w:w="110"/>
            </w:tcMar>
          </w:tcPr>
          <w:p>
            <w:r>
              <w:rPr>
                <w:b w:val="false"/>
                <w:bCs w:val="false"/>
                <w:sz w:val="19"/>
                <w:szCs w:val="19"/>
              </w:rPr>
              <w:t xml:space="preserve">Payroll</w:t>
            </w:r>
          </w:p>
        </w:tc>
        <w:tc>
          <w:tcPr>
            <w:tcW w:type="dxa" w:w="1400"/>
            <w:tcMar>
              <w:top w:type="dxa" w:w="70"/>
              <w:left w:type="dxa" w:w="110"/>
              <w:bottom w:type="dxa" w:w="70"/>
              <w:right w:type="dxa" w:w="110"/>
            </w:tcMar>
          </w:tcPr>
          <w:p>
            <w:r>
              <w:rPr>
                <w:b w:val="false"/>
                <w:bCs w:val="false"/>
                <w:sz w:val="19"/>
                <w:szCs w:val="19"/>
              </w:rPr>
              <w:t xml:space="preserve">OPEN</w:t>
            </w:r>
          </w:p>
        </w:tc>
      </w:tr>
      <w:tr>
        <w:tc>
          <w:tcPr>
            <w:tcW w:type="dxa" w:w="700"/>
            <w:tcMar>
              <w:top w:type="dxa" w:w="70"/>
              <w:left w:type="dxa" w:w="110"/>
              <w:bottom w:type="dxa" w:w="70"/>
              <w:right w:type="dxa" w:w="110"/>
            </w:tcMar>
          </w:tcPr>
          <w:p>
            <w:r>
              <w:rPr>
                <w:b w:val="false"/>
                <w:bCs w:val="false"/>
                <w:sz w:val="19"/>
                <w:szCs w:val="19"/>
              </w:rPr>
              <w:t xml:space="preserve">OI-04</w:t>
            </w:r>
          </w:p>
        </w:tc>
        <w:tc>
          <w:tcPr>
            <w:tcW w:type="dxa" w:w="3660"/>
            <w:tcMar>
              <w:top w:type="dxa" w:w="70"/>
              <w:left w:type="dxa" w:w="110"/>
              <w:bottom w:type="dxa" w:w="70"/>
              <w:right w:type="dxa" w:w="110"/>
            </w:tcMar>
          </w:tcPr>
          <w:p>
            <w:r>
              <w:rPr>
                <w:b w:val="false"/>
                <w:bCs w:val="false"/>
                <w:sz w:val="19"/>
                <w:szCs w:val="19"/>
              </w:rPr>
              <w:t xml:space="preserve">Manager reporting lines cannot be represented, because SAP holds them through position relationships and positions are out of scope.</w:t>
            </w:r>
          </w:p>
        </w:tc>
        <w:tc>
          <w:tcPr>
            <w:tcW w:type="dxa" w:w="2500"/>
            <w:tcMar>
              <w:top w:type="dxa" w:w="70"/>
              <w:left w:type="dxa" w:w="110"/>
              <w:bottom w:type="dxa" w:w="70"/>
              <w:right w:type="dxa" w:w="110"/>
            </w:tcMar>
          </w:tcPr>
          <w:p>
            <w:r>
              <w:rPr>
                <w:b w:val="false"/>
                <w:bCs w:val="false"/>
                <w:sz w:val="19"/>
                <w:szCs w:val="19"/>
              </w:rPr>
              <w:t xml:space="preserve">Organisational chart reporting unavailable at go-live.</w:t>
            </w:r>
          </w:p>
        </w:tc>
        <w:tc>
          <w:tcPr>
            <w:tcW w:type="dxa" w:w="1100"/>
            <w:tcMar>
              <w:top w:type="dxa" w:w="70"/>
              <w:left w:type="dxa" w:w="110"/>
              <w:bottom w:type="dxa" w:w="70"/>
              <w:right w:type="dxa" w:w="110"/>
            </w:tcMar>
          </w:tcPr>
          <w:p>
            <w:r>
              <w:rPr>
                <w:b w:val="false"/>
                <w:bCs w:val="false"/>
                <w:sz w:val="19"/>
                <w:szCs w:val="19"/>
              </w:rPr>
              <w:t xml:space="preserve">HR</w:t>
            </w:r>
          </w:p>
        </w:tc>
        <w:tc>
          <w:tcPr>
            <w:tcW w:type="dxa" w:w="1400"/>
            <w:tcMar>
              <w:top w:type="dxa" w:w="70"/>
              <w:left w:type="dxa" w:w="110"/>
              <w:bottom w:type="dxa" w:w="70"/>
              <w:right w:type="dxa" w:w="110"/>
            </w:tcMar>
          </w:tcPr>
          <w:p>
            <w:r>
              <w:rPr>
                <w:b w:val="false"/>
                <w:bCs w:val="false"/>
                <w:sz w:val="19"/>
                <w:szCs w:val="19"/>
              </w:rPr>
              <w:t xml:space="preserve">OPEN</w:t>
            </w:r>
          </w:p>
        </w:tc>
      </w:tr>
      <w:tr>
        <w:tc>
          <w:tcPr>
            <w:tcW w:type="dxa" w:w="700"/>
            <w:tcMar>
              <w:top w:type="dxa" w:w="70"/>
              <w:left w:type="dxa" w:w="110"/>
              <w:bottom w:type="dxa" w:w="70"/>
              <w:right w:type="dxa" w:w="110"/>
            </w:tcMar>
          </w:tcPr>
          <w:p>
            <w:r>
              <w:rPr>
                <w:b w:val="false"/>
                <w:bCs w:val="false"/>
                <w:sz w:val="19"/>
                <w:szCs w:val="19"/>
              </w:rPr>
              <w:t xml:space="preserve">OI-05</w:t>
            </w:r>
          </w:p>
        </w:tc>
        <w:tc>
          <w:tcPr>
            <w:tcW w:type="dxa" w:w="3660"/>
            <w:tcMar>
              <w:top w:type="dxa" w:w="70"/>
              <w:left w:type="dxa" w:w="110"/>
              <w:bottom w:type="dxa" w:w="70"/>
              <w:right w:type="dxa" w:w="110"/>
            </w:tcMar>
          </w:tcPr>
          <w:p>
            <w:r>
              <w:rPr>
                <w:b w:val="false"/>
                <w:bCs w:val="false"/>
                <w:sz w:val="19"/>
                <w:szCs w:val="19"/>
              </w:rPr>
              <w:t xml:space="preserve">Building society roll numbers have no target field in the agreed scope.</w:t>
            </w:r>
          </w:p>
        </w:tc>
        <w:tc>
          <w:tcPr>
            <w:tcW w:type="dxa" w:w="2500"/>
            <w:tcMar>
              <w:top w:type="dxa" w:w="70"/>
              <w:left w:type="dxa" w:w="110"/>
              <w:bottom w:type="dxa" w:w="70"/>
              <w:right w:type="dxa" w:w="110"/>
            </w:tcMar>
          </w:tcPr>
          <w:p>
            <w:r>
              <w:rPr>
                <w:b w:val="false"/>
                <w:bCs w:val="false"/>
                <w:sz w:val="19"/>
                <w:szCs w:val="19"/>
              </w:rPr>
              <w:t xml:space="preserve">A small number of employees require manual bank detail entry post-migration.</w:t>
            </w:r>
          </w:p>
        </w:tc>
        <w:tc>
          <w:tcPr>
            <w:tcW w:type="dxa" w:w="1100"/>
            <w:tcMar>
              <w:top w:type="dxa" w:w="70"/>
              <w:left w:type="dxa" w:w="110"/>
              <w:bottom w:type="dxa" w:w="70"/>
              <w:right w:type="dxa" w:w="110"/>
            </w:tcMar>
          </w:tcPr>
          <w:p>
            <w:r>
              <w:rPr>
                <w:b w:val="false"/>
                <w:bCs w:val="false"/>
                <w:sz w:val="19"/>
                <w:szCs w:val="19"/>
              </w:rPr>
              <w:t xml:space="preserve">Payroll</w:t>
            </w:r>
          </w:p>
        </w:tc>
        <w:tc>
          <w:tcPr>
            <w:tcW w:type="dxa" w:w="1400"/>
            <w:tcMar>
              <w:top w:type="dxa" w:w="70"/>
              <w:left w:type="dxa" w:w="110"/>
              <w:bottom w:type="dxa" w:w="70"/>
              <w:right w:type="dxa" w:w="110"/>
            </w:tcMar>
          </w:tcPr>
          <w:p>
            <w:r>
              <w:rPr>
                <w:b w:val="false"/>
                <w:bCs w:val="false"/>
                <w:sz w:val="19"/>
                <w:szCs w:val="19"/>
              </w:rPr>
              <w:t xml:space="preserve">OPEN</w:t>
            </w:r>
          </w:p>
        </w:tc>
      </w:tr>
    </w:tbl>
    <w:p>
      <w:r>
        <w:br w:type="page"/>
      </w:r>
    </w:p>
    <w:p>
      <w:pPr>
        <w:pStyle w:val="Heading1"/>
        <w:spacing w:after="160" w:before="360"/>
      </w:pPr>
      <w:r>
        <w:t xml:space="preserve">11. Sign-off</w:t>
      </w:r>
    </w:p>
    <w:p>
      <w:pPr>
        <w:spacing w:after="130" w:line="290"/>
      </w:pPr>
      <w:r>
        <w:rPr>
          <w:sz w:val="21"/>
          <w:szCs w:val="21"/>
        </w:rPr>
        <w:t xml:space="preserve">By signing below, each party confirms that they have reviewed the mapping rules, assumptions and open issues relevant to their area, and that they accept the approach described in this specification as the basis for migration build and testing.</w:t>
      </w:r>
    </w:p>
    <w:p>
      <w:pPr>
        <w:spacing w:after="130" w:line="290"/>
      </w:pPr>
      <w:r>
        <w:rPr>
          <w:sz w:val="21"/>
          <w:szCs w:val="21"/>
        </w:rPr>
        <w:t xml:space="preserve">Sign-off does not close the open issues listed in Section 10. Those remain the responsibility of the named owners and must be resolved before go-live.</w:t>
      </w:r>
    </w:p>
    <w:p>
      <w:pPr>
        <w:spacing w:after="16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60"/>
        <w:gridCol w:w="1600"/>
      </w:tblGrid>
      <w:tr>
        <w:trPr>
          <w:tblHeader/>
        </w:trPr>
        <w:tc>
          <w:tcPr>
            <w:tcW w:type="dxa" w:w="2400"/>
            <w:shd w:fill="DCE3EC" w:val="clear"/>
            <w:tcMar>
              <w:top w:type="dxa" w:w="70"/>
              <w:left w:type="dxa" w:w="110"/>
              <w:bottom w:type="dxa" w:w="70"/>
              <w:right w:type="dxa" w:w="110"/>
            </w:tcMar>
          </w:tcPr>
          <w:p>
            <w:r>
              <w:rPr>
                <w:b/>
                <w:bCs/>
                <w:sz w:val="19"/>
                <w:szCs w:val="19"/>
              </w:rPr>
              <w:t xml:space="preserve">Role</w:t>
            </w:r>
          </w:p>
        </w:tc>
        <w:tc>
          <w:tcPr>
            <w:tcW w:type="dxa" w:w="2400"/>
            <w:shd w:fill="DCE3EC" w:val="clear"/>
            <w:tcMar>
              <w:top w:type="dxa" w:w="70"/>
              <w:left w:type="dxa" w:w="110"/>
              <w:bottom w:type="dxa" w:w="70"/>
              <w:right w:type="dxa" w:w="110"/>
            </w:tcMar>
          </w:tcPr>
          <w:p>
            <w:r>
              <w:rPr>
                <w:b/>
                <w:bCs/>
                <w:sz w:val="19"/>
                <w:szCs w:val="19"/>
              </w:rPr>
              <w:t xml:space="preserve">Name</w:t>
            </w:r>
          </w:p>
        </w:tc>
        <w:tc>
          <w:tcPr>
            <w:tcW w:type="dxa" w:w="2960"/>
            <w:shd w:fill="DCE3EC" w:val="clear"/>
            <w:tcMar>
              <w:top w:type="dxa" w:w="70"/>
              <w:left w:type="dxa" w:w="110"/>
              <w:bottom w:type="dxa" w:w="70"/>
              <w:right w:type="dxa" w:w="110"/>
            </w:tcMar>
          </w:tcPr>
          <w:p>
            <w:r>
              <w:rPr>
                <w:b/>
                <w:bCs/>
                <w:sz w:val="19"/>
                <w:szCs w:val="19"/>
              </w:rPr>
              <w:t xml:space="preserve">Signature</w:t>
            </w:r>
          </w:p>
        </w:tc>
        <w:tc>
          <w:tcPr>
            <w:tcW w:type="dxa" w:w="1600"/>
            <w:shd w:fill="DCE3EC" w:val="clear"/>
            <w:tcMar>
              <w:top w:type="dxa" w:w="70"/>
              <w:left w:type="dxa" w:w="110"/>
              <w:bottom w:type="dxa" w:w="70"/>
              <w:right w:type="dxa" w:w="110"/>
            </w:tcMar>
          </w:tcPr>
          <w:p>
            <w:r>
              <w:rPr>
                <w:b/>
                <w:bCs/>
                <w:sz w:val="19"/>
                <w:szCs w:val="19"/>
              </w:rPr>
              <w:t xml:space="preserve">Date</w:t>
            </w:r>
          </w:p>
        </w:tc>
      </w:tr>
      <w:tr>
        <w:tc>
          <w:tcPr>
            <w:tcW w:type="dxa" w:w="2400"/>
            <w:tcMar>
              <w:top w:type="dxa" w:w="70"/>
              <w:left w:type="dxa" w:w="110"/>
              <w:bottom w:type="dxa" w:w="70"/>
              <w:right w:type="dxa" w:w="110"/>
            </w:tcMar>
          </w:tcPr>
          <w:p>
            <w:r>
              <w:rPr>
                <w:b w:val="false"/>
                <w:bCs w:val="false"/>
                <w:sz w:val="19"/>
                <w:szCs w:val="19"/>
              </w:rPr>
              <w:t xml:space="preserve">HR Lead</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r>
        <w:tc>
          <w:tcPr>
            <w:tcW w:type="dxa" w:w="2400"/>
            <w:tcMar>
              <w:top w:type="dxa" w:w="70"/>
              <w:left w:type="dxa" w:w="110"/>
              <w:bottom w:type="dxa" w:w="70"/>
              <w:right w:type="dxa" w:w="110"/>
            </w:tcMar>
          </w:tcPr>
          <w:p>
            <w:r>
              <w:rPr>
                <w:b w:val="false"/>
                <w:bCs w:val="false"/>
                <w:sz w:val="19"/>
                <w:szCs w:val="19"/>
              </w:rPr>
              <w:t xml:space="preserve">Payroll Manager</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r>
        <w:tc>
          <w:tcPr>
            <w:tcW w:type="dxa" w:w="2400"/>
            <w:tcMar>
              <w:top w:type="dxa" w:w="70"/>
              <w:left w:type="dxa" w:w="110"/>
              <w:bottom w:type="dxa" w:w="70"/>
              <w:right w:type="dxa" w:w="110"/>
            </w:tcMar>
          </w:tcPr>
          <w:p>
            <w:r>
              <w:rPr>
                <w:b w:val="false"/>
                <w:bCs w:val="false"/>
                <w:sz w:val="19"/>
                <w:szCs w:val="19"/>
              </w:rPr>
              <w:t xml:space="preserve">Finance Business Partner</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r>
        <w:tc>
          <w:tcPr>
            <w:tcW w:type="dxa" w:w="2400"/>
            <w:tcMar>
              <w:top w:type="dxa" w:w="70"/>
              <w:left w:type="dxa" w:w="110"/>
              <w:bottom w:type="dxa" w:w="70"/>
              <w:right w:type="dxa" w:w="110"/>
            </w:tcMar>
          </w:tcPr>
          <w:p>
            <w:r>
              <w:rPr>
                <w:b w:val="false"/>
                <w:bCs w:val="false"/>
                <w:sz w:val="19"/>
                <w:szCs w:val="19"/>
              </w:rPr>
              <w:t xml:space="preserve">SAP Functional Lead</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r>
        <w:tc>
          <w:tcPr>
            <w:tcW w:type="dxa" w:w="2400"/>
            <w:tcMar>
              <w:top w:type="dxa" w:w="70"/>
              <w:left w:type="dxa" w:w="110"/>
              <w:bottom w:type="dxa" w:w="70"/>
              <w:right w:type="dxa" w:w="110"/>
            </w:tcMar>
          </w:tcPr>
          <w:p>
            <w:r>
              <w:rPr>
                <w:b w:val="false"/>
                <w:bCs w:val="false"/>
                <w:sz w:val="19"/>
                <w:szCs w:val="19"/>
              </w:rPr>
              <w:t xml:space="preserve">Data Migration Lead</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r>
        <w:tc>
          <w:tcPr>
            <w:tcW w:type="dxa" w:w="2400"/>
            <w:tcMar>
              <w:top w:type="dxa" w:w="70"/>
              <w:left w:type="dxa" w:w="110"/>
              <w:bottom w:type="dxa" w:w="70"/>
              <w:right w:type="dxa" w:w="110"/>
            </w:tcMar>
          </w:tcPr>
          <w:p>
            <w:r>
              <w:rPr>
                <w:b w:val="false"/>
                <w:bCs w:val="false"/>
                <w:sz w:val="19"/>
                <w:szCs w:val="19"/>
              </w:rPr>
              <w:t xml:space="preserve">Programme Manager</w:t>
            </w:r>
          </w:p>
        </w:tc>
        <w:tc>
          <w:tcPr>
            <w:tcW w:type="dxa" w:w="2400"/>
            <w:tcMar>
              <w:top w:type="dxa" w:w="70"/>
              <w:left w:type="dxa" w:w="110"/>
              <w:bottom w:type="dxa" w:w="70"/>
              <w:right w:type="dxa" w:w="110"/>
            </w:tcMar>
          </w:tcPr>
          <w:p>
            <w:r>
              <w:rPr>
                <w:b w:val="false"/>
                <w:bCs w:val="false"/>
                <w:sz w:val="19"/>
                <w:szCs w:val="19"/>
              </w:rPr>
              <w:t xml:space="preserve"/>
            </w:r>
          </w:p>
        </w:tc>
        <w:tc>
          <w:tcPr>
            <w:tcW w:type="dxa" w:w="2960"/>
            <w:tcMar>
              <w:top w:type="dxa" w:w="70"/>
              <w:left w:type="dxa" w:w="110"/>
              <w:bottom w:type="dxa" w:w="70"/>
              <w:right w:type="dxa" w:w="110"/>
            </w:tcMar>
          </w:tcPr>
          <w:p>
            <w:r>
              <w:rPr>
                <w:b w:val="false"/>
                <w:bCs w:val="false"/>
                <w:sz w:val="19"/>
                <w:szCs w:val="19"/>
              </w:rPr>
              <w:t xml:space="preserve"/>
            </w:r>
          </w:p>
        </w:tc>
        <w:tc>
          <w:tcPr>
            <w:tcW w:type="dxa" w:w="1600"/>
            <w:tcMar>
              <w:top w:type="dxa" w:w="70"/>
              <w:left w:type="dxa" w:w="110"/>
              <w:bottom w:type="dxa" w:w="70"/>
              <w:right w:type="dxa" w:w="110"/>
            </w:tcMar>
          </w:tcPr>
          <w:p>
            <w:r>
              <w:rPr>
                <w:b w:val="false"/>
                <w:bCs w:val="false"/>
                <w:sz w:val="19"/>
                <w:szCs w:val="19"/>
              </w:rPr>
              <w:t xml:space="preserve"/>
            </w:r>
          </w:p>
        </w:tc>
      </w:tr>
    </w:tbl>
    <w:p>
      <w:pPr>
        <w:spacing w:after="160"/>
      </w:pPr>
      <w:r>
        <w:rPr>
          <w:sz w:val="14"/>
          <w:szCs w:val="14"/>
        </w:rPr>
        <w:t xml:space="preserve"/>
      </w:r>
    </w:p>
    <w:p>
      <w:pPr>
        <w:spacing w:after="160"/>
      </w:pPr>
      <w:r>
        <w:rPr>
          <w:sz w:val="14"/>
          <w:szCs w:val="14"/>
        </w:rPr>
        <w:t xml:space="preserve"/>
      </w:r>
    </w:p>
    <w:p>
      <w:pPr>
        <w:pBdr>
          <w:top w:val="single" w:color="CCCCCC" w:sz="4" w:space="8"/>
        </w:pBdr>
      </w:pPr>
      <w:r>
        <w:rPr>
          <w:i/>
          <w:iCs/>
          <w:color w:val="888888"/>
          <w:sz w:val="18"/>
          <w:szCs w:val="18"/>
        </w:rPr>
        <w:t xml:space="preserve">Document ends.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color w:val="888888"/>
        <w:sz w:val="16"/>
        <w:szCs w:val="16"/>
      </w:rPr>
      <w:t xml:space="preserve">HR &amp; Payroll Data Migration  |  Mapping Specification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A88"/>
      <w:sz w:val="25"/>
      <w:szCs w:val="25"/>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2026-09-11T14:50:42.010Z</dcterms:created>
  <dcterms:modified xsi:type="dcterms:W3CDTF">2026-09-11T14:50:42.010Z</dcterms:modified>
</cp:coreProperties>
</file>

<file path=docProps/custom.xml><?xml version="1.0" encoding="utf-8"?>
<Properties xmlns="http://schemas.openxmlformats.org/officeDocument/2006/custom-properties" xmlns:vt="http://schemas.openxmlformats.org/officeDocument/2006/docPropsVTypes"/>
</file>