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2520"/>
      </w:tblGrid>
      <w:tr>
        <w:tc>
          <w:tcPr>
            <w:tcW w:type="dxa" w:w="6768"/>
            <w:vAlign w:val="center"/>
          </w:tcPr>
          <w:p>
            <w:pPr>
              <w:spacing w:after="80"/>
            </w:pPr>
            <w:r>
              <w:rPr>
                <w:rFonts w:ascii="Aptos Display" w:hAnsi="Aptos Display"/>
                <w:b/>
                <w:color w:val="19304E"/>
                <w:sz w:val="42"/>
              </w:rPr>
              <w:t>CA. MANORANJAN BEHERA</w:t>
            </w:r>
          </w:p>
          <w:p>
            <w:pPr>
              <w:spacing w:after="100"/>
            </w:pPr>
            <w:r>
              <w:rPr>
                <w:color w:val="505862"/>
                <w:sz w:val="20"/>
              </w:rPr>
              <w:t>Chartered Accountant | Audit, Taxation, Governance &amp; Financial Advisory</w:t>
            </w:r>
          </w:p>
          <w:p>
            <w:pPr>
              <w:spacing w:after="0"/>
            </w:pPr>
            <w:r>
              <w:rPr>
                <w:b/>
                <w:color w:val="2D4666"/>
                <w:sz w:val="18"/>
              </w:rPr>
              <w:t>B.Com.  |  FCA  |  LL.B.  |  DISA  |  FAFD  |  Ind AS</w:t>
            </w:r>
          </w:p>
        </w:tc>
        <w:tc>
          <w:tcPr>
            <w:tcW w:type="dxa" w:w="2520"/>
            <w:vAlign w:val="center"/>
          </w:tcPr>
          <w:p>
            <w:pPr>
              <w:jc w:val="right"/>
            </w:pPr>
            <w:r>
              <w:drawing>
                <wp:inline xmlns:a="http://schemas.openxmlformats.org/drawingml/2006/main" xmlns:pic="http://schemas.openxmlformats.org/drawingml/2006/picture">
                  <wp:extent cx="1417320" cy="1691640"/>
                  <wp:docPr id="1" name="Picture 1"/>
                  <wp:cNvGraphicFramePr>
                    <a:graphicFrameLocks noChangeAspect="1"/>
                  </wp:cNvGraphicFramePr>
                  <a:graphic>
                    <a:graphicData uri="http://schemas.openxmlformats.org/drawingml/2006/picture">
                      <pic:pic>
                        <pic:nvPicPr>
                          <pic:cNvPr id="0" name="a_clean_professional_studio_head_and_shoulders_po.png"/>
                          <pic:cNvPicPr/>
                        </pic:nvPicPr>
                        <pic:blipFill>
                          <a:blip r:embed="rId9"/>
                          <a:stretch>
                            <a:fillRect/>
                          </a:stretch>
                        </pic:blipFill>
                        <pic:spPr>
                          <a:xfrm>
                            <a:off x="0" y="0"/>
                            <a:ext cx="1417320" cy="1691640"/>
                          </a:xfrm>
                          <a:prstGeom prst="rect"/>
                        </pic:spPr>
                      </pic:pic>
                    </a:graphicData>
                  </a:graphic>
                </wp:inline>
              </w:drawing>
            </w:r>
          </w:p>
        </w:tc>
      </w:tr>
    </w:tbl>
    <w:p>
      <w:pPr>
        <w:spacing w:before="180" w:after="60"/>
      </w:pPr>
      <w:r>
        <w:rPr>
          <w:b/>
          <w:color w:val="19304E"/>
          <w:sz w:val="20"/>
        </w:rPr>
        <w:t>PROFESSIONAL PROFILE</w:t>
      </w:r>
    </w:p>
    <w:p>
      <w:pPr>
        <w:spacing w:after="80" w:line="259" w:lineRule="auto"/>
      </w:pPr>
      <w:r>
        <w:rPr>
          <w:rFonts w:ascii="Aptos" w:hAnsi="Aptos"/>
          <w:color w:val="373C44"/>
          <w:sz w:val="19"/>
        </w:rPr>
        <w:t>CA. Manoranjan Behera is a Fellow Chartered Accountant with experience across corporate roles and professional practice. He qualified as a Chartered Accountant in 2007 and brings a practical, business-focused approach to audit, taxation, corporate governance and regulatory compliance. His areas of expertise include statutory and internal audits, direct and indirect taxation, financial reporting, risk assessment and strengthening internal controls.</w:t>
      </w:r>
    </w:p>
    <w:p>
      <w:pPr>
        <w:spacing w:before="180" w:after="60"/>
      </w:pPr>
      <w:r>
        <w:rPr>
          <w:b/>
          <w:color w:val="19304E"/>
          <w:sz w:val="20"/>
        </w:rPr>
        <w:t>AREAS OF EXPERTISE</w:t>
      </w:r>
    </w:p>
    <w:p>
      <w:pPr>
        <w:spacing w:after="80" w:line="259" w:lineRule="auto"/>
      </w:pPr>
      <w:r>
        <w:rPr>
          <w:rFonts w:ascii="Aptos" w:hAnsi="Aptos"/>
          <w:color w:val="373C44"/>
          <w:sz w:val="19"/>
        </w:rPr>
        <w:t>Statutory &amp; Internal Audit  ·  Corporate Governance  ·  Direct &amp; Indirect Taxation  ·  Regulatory Compliance  ·  Financial Reporting &amp; Ind AS  ·  Risk Assessment &amp; Internal Controls  ·  Due Diligence  ·  Business Advisory</w:t>
      </w:r>
    </w:p>
    <w:p>
      <w:pPr>
        <w:spacing w:before="180" w:after="60"/>
      </w:pPr>
      <w:r>
        <w:rPr>
          <w:b/>
          <w:color w:val="19304E"/>
          <w:sz w:val="20"/>
        </w:rPr>
        <w:t>PROFESSIONAL AFFILIATION</w:t>
      </w:r>
    </w:p>
    <w:p>
      <w:pPr>
        <w:spacing w:after="80" w:line="259" w:lineRule="auto"/>
      </w:pPr>
      <w:r>
        <w:rPr>
          <w:rFonts w:ascii="Aptos" w:hAnsi="Aptos"/>
          <w:color w:val="373C44"/>
          <w:sz w:val="19"/>
        </w:rPr>
        <w:t>M Behera &amp; Associates, Chartered Accountants</w:t>
      </w:r>
    </w:p>
    <w:p>
      <w:pPr>
        <w:spacing w:after="40"/>
      </w:pPr>
      <w:r>
        <w:rPr>
          <w:color w:val="195087"/>
          <w:sz w:val="19"/>
        </w:rPr>
        <w:t>www.cambehera.com</w:t>
      </w:r>
    </w:p>
    <w:p>
      <w:pPr>
        <w:spacing w:before="140" w:after="0"/>
      </w:pPr>
      <w:r>
        <w:rPr>
          <w:color w:val="5A6068"/>
          <w:sz w:val="16"/>
        </w:rPr>
        <w:t>Bengaluru, Karnataka  |  Branch: Saheed Nagar, Bhubaneswar, Odisha  |  manoranjan@mbpartners.in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