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D33" w:rsidRDefault="000D1FAD" w:rsidP="000D1F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Tice</w:t>
      </w:r>
    </w:p>
    <w:p w:rsidR="000D1FAD" w:rsidRDefault="000D1FAD" w:rsidP="000D1F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Thacker</w:t>
      </w:r>
    </w:p>
    <w:p w:rsidR="000D1FAD" w:rsidRDefault="000D1FAD" w:rsidP="000D1F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271</w:t>
      </w:r>
    </w:p>
    <w:p w:rsidR="000D1FAD" w:rsidRDefault="000D1FAD" w:rsidP="000D1F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3/26/2017</w:t>
      </w:r>
    </w:p>
    <w:tbl>
      <w:tblPr>
        <w:tblStyle w:val="TableGrid"/>
        <w:tblpPr w:leftFromText="180" w:rightFromText="180" w:vertAnchor="page" w:horzAnchor="margin" w:tblpY="5356"/>
        <w:tblW w:w="9985" w:type="dxa"/>
        <w:tblLook w:val="04A0" w:firstRow="1" w:lastRow="0" w:firstColumn="1" w:lastColumn="0" w:noHBand="0" w:noVBand="1"/>
      </w:tblPr>
      <w:tblGrid>
        <w:gridCol w:w="3031"/>
        <w:gridCol w:w="3534"/>
        <w:gridCol w:w="3420"/>
      </w:tblGrid>
      <w:tr w:rsidR="000D1FAD" w:rsidTr="00041C36">
        <w:tc>
          <w:tcPr>
            <w:tcW w:w="3031" w:type="dxa"/>
          </w:tcPr>
          <w:p w:rsidR="000D1FAD" w:rsidRPr="000D1FAD" w:rsidRDefault="00041C36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="000D1FAD" w:rsidRPr="000D1FAD">
              <w:rPr>
                <w:rFonts w:ascii="Times New Roman" w:hAnsi="Times New Roman" w:cs="Times New Roman"/>
                <w:sz w:val="24"/>
                <w:szCs w:val="24"/>
              </w:rPr>
              <w:t xml:space="preserve"> Size</w:t>
            </w:r>
          </w:p>
        </w:tc>
        <w:tc>
          <w:tcPr>
            <w:tcW w:w="3534" w:type="dxa"/>
          </w:tcPr>
          <w:p w:rsidR="000D1FAD" w:rsidRPr="000D1FAD" w:rsidRDefault="000D1FAD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for insertion Sort</w:t>
            </w:r>
            <w:r w:rsidR="00041C36">
              <w:rPr>
                <w:rFonts w:ascii="Times New Roman" w:hAnsi="Times New Roman" w:cs="Times New Roman"/>
                <w:sz w:val="24"/>
                <w:szCs w:val="24"/>
              </w:rPr>
              <w:t xml:space="preserve"> (seconds)</w:t>
            </w:r>
          </w:p>
        </w:tc>
        <w:tc>
          <w:tcPr>
            <w:tcW w:w="3420" w:type="dxa"/>
          </w:tcPr>
          <w:p w:rsidR="000D1FAD" w:rsidRPr="000D1FAD" w:rsidRDefault="000D1FAD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for merge Sort</w:t>
            </w:r>
            <w:r w:rsidR="00041C36">
              <w:rPr>
                <w:rFonts w:ascii="Times New Roman" w:hAnsi="Times New Roman" w:cs="Times New Roman"/>
                <w:sz w:val="24"/>
                <w:szCs w:val="24"/>
              </w:rPr>
              <w:t xml:space="preserve"> (seconds)</w:t>
            </w:r>
          </w:p>
        </w:tc>
      </w:tr>
      <w:tr w:rsidR="000D1FAD" w:rsidTr="00041C36">
        <w:tc>
          <w:tcPr>
            <w:tcW w:w="3031" w:type="dxa"/>
          </w:tcPr>
          <w:p w:rsidR="000D1FAD" w:rsidRPr="000D1FAD" w:rsidRDefault="000D1FAD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FAD"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3534" w:type="dxa"/>
          </w:tcPr>
          <w:p w:rsidR="000D1FAD" w:rsidRPr="000D1FAD" w:rsidRDefault="00041C36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3420" w:type="dxa"/>
          </w:tcPr>
          <w:p w:rsidR="000D1FAD" w:rsidRPr="000D1FAD" w:rsidRDefault="00041C36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0D1FAD" w:rsidTr="00041C36">
        <w:tc>
          <w:tcPr>
            <w:tcW w:w="3031" w:type="dxa"/>
          </w:tcPr>
          <w:p w:rsidR="000D1FAD" w:rsidRPr="000D1FAD" w:rsidRDefault="000D1FAD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FAD"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3534" w:type="dxa"/>
          </w:tcPr>
          <w:p w:rsidR="000D1FAD" w:rsidRPr="000D1FAD" w:rsidRDefault="00041C36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</w:t>
            </w:r>
          </w:p>
        </w:tc>
        <w:tc>
          <w:tcPr>
            <w:tcW w:w="3420" w:type="dxa"/>
          </w:tcPr>
          <w:p w:rsidR="000D1FAD" w:rsidRPr="000D1FAD" w:rsidRDefault="00041C36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</w:tr>
      <w:tr w:rsidR="000D1FAD" w:rsidTr="00041C36">
        <w:tc>
          <w:tcPr>
            <w:tcW w:w="3031" w:type="dxa"/>
          </w:tcPr>
          <w:p w:rsidR="000D1FAD" w:rsidRPr="000D1FAD" w:rsidRDefault="000D1FAD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FAD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534" w:type="dxa"/>
          </w:tcPr>
          <w:p w:rsidR="000D1FAD" w:rsidRPr="000D1FAD" w:rsidRDefault="00041C36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0.232</w:t>
            </w:r>
          </w:p>
        </w:tc>
        <w:tc>
          <w:tcPr>
            <w:tcW w:w="3420" w:type="dxa"/>
          </w:tcPr>
          <w:p w:rsidR="000D1FAD" w:rsidRPr="000D1FAD" w:rsidRDefault="00041C36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0D1FAD" w:rsidTr="00041C36">
        <w:tc>
          <w:tcPr>
            <w:tcW w:w="3031" w:type="dxa"/>
          </w:tcPr>
          <w:p w:rsidR="000D1FAD" w:rsidRPr="000D1FAD" w:rsidRDefault="000D1FAD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FAD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3534" w:type="dxa"/>
          </w:tcPr>
          <w:p w:rsidR="000D1FAD" w:rsidRPr="000D1FAD" w:rsidRDefault="00041C36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0.956</w:t>
            </w:r>
          </w:p>
        </w:tc>
        <w:tc>
          <w:tcPr>
            <w:tcW w:w="3420" w:type="dxa"/>
          </w:tcPr>
          <w:p w:rsidR="000D1FAD" w:rsidRPr="000D1FAD" w:rsidRDefault="00041C36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</w:p>
        </w:tc>
      </w:tr>
      <w:tr w:rsidR="000D1FAD" w:rsidTr="00041C36">
        <w:tc>
          <w:tcPr>
            <w:tcW w:w="3031" w:type="dxa"/>
          </w:tcPr>
          <w:p w:rsidR="000D1FAD" w:rsidRPr="000D1FAD" w:rsidRDefault="000D1FAD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FAD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3534" w:type="dxa"/>
          </w:tcPr>
          <w:p w:rsidR="000D1FAD" w:rsidRPr="000D1FAD" w:rsidRDefault="00041C36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6.408</w:t>
            </w:r>
          </w:p>
        </w:tc>
        <w:tc>
          <w:tcPr>
            <w:tcW w:w="3420" w:type="dxa"/>
          </w:tcPr>
          <w:p w:rsidR="000D1FAD" w:rsidRPr="000D1FAD" w:rsidRDefault="00041C36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0.052</w:t>
            </w:r>
          </w:p>
        </w:tc>
      </w:tr>
      <w:tr w:rsidR="000D1FAD" w:rsidTr="00041C36">
        <w:tc>
          <w:tcPr>
            <w:tcW w:w="3031" w:type="dxa"/>
          </w:tcPr>
          <w:p w:rsidR="000D1FAD" w:rsidRPr="000D1FAD" w:rsidRDefault="000D1FAD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FAD">
              <w:rPr>
                <w:rFonts w:ascii="Times New Roman" w:hAnsi="Times New Roman" w:cs="Times New Roman"/>
                <w:sz w:val="24"/>
                <w:szCs w:val="24"/>
              </w:rPr>
              <w:t>100,00</w:t>
            </w:r>
          </w:p>
        </w:tc>
        <w:tc>
          <w:tcPr>
            <w:tcW w:w="3534" w:type="dxa"/>
          </w:tcPr>
          <w:p w:rsidR="000D1FAD" w:rsidRPr="000D1FAD" w:rsidRDefault="00041C36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26.560</w:t>
            </w:r>
          </w:p>
        </w:tc>
        <w:tc>
          <w:tcPr>
            <w:tcW w:w="3420" w:type="dxa"/>
          </w:tcPr>
          <w:p w:rsidR="004D288F" w:rsidRPr="000D1FAD" w:rsidRDefault="00041C36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0.104</w:t>
            </w:r>
          </w:p>
        </w:tc>
      </w:tr>
      <w:tr w:rsidR="004D288F" w:rsidTr="00041C36">
        <w:tc>
          <w:tcPr>
            <w:tcW w:w="3031" w:type="dxa"/>
          </w:tcPr>
          <w:p w:rsidR="004D288F" w:rsidRPr="000D1FAD" w:rsidRDefault="004D288F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3534" w:type="dxa"/>
          </w:tcPr>
          <w:p w:rsidR="004D288F" w:rsidRPr="000D1FAD" w:rsidRDefault="004D288F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</w:t>
            </w:r>
          </w:p>
        </w:tc>
        <w:tc>
          <w:tcPr>
            <w:tcW w:w="3420" w:type="dxa"/>
          </w:tcPr>
          <w:p w:rsidR="004D288F" w:rsidRPr="000D1FAD" w:rsidRDefault="00041C36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1.176</w:t>
            </w:r>
          </w:p>
        </w:tc>
      </w:tr>
      <w:tr w:rsidR="004D288F" w:rsidTr="00041C36">
        <w:tc>
          <w:tcPr>
            <w:tcW w:w="3031" w:type="dxa"/>
          </w:tcPr>
          <w:p w:rsidR="004D288F" w:rsidRPr="000D1FAD" w:rsidRDefault="004D288F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10,000,000</w:t>
            </w:r>
          </w:p>
        </w:tc>
        <w:tc>
          <w:tcPr>
            <w:tcW w:w="3534" w:type="dxa"/>
          </w:tcPr>
          <w:p w:rsidR="004D288F" w:rsidRPr="000D1FAD" w:rsidRDefault="004D288F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</w:t>
            </w:r>
          </w:p>
        </w:tc>
        <w:tc>
          <w:tcPr>
            <w:tcW w:w="3420" w:type="dxa"/>
          </w:tcPr>
          <w:p w:rsidR="004D288F" w:rsidRPr="000D1FAD" w:rsidRDefault="00041C36" w:rsidP="004A3C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14.024</w:t>
            </w:r>
          </w:p>
        </w:tc>
      </w:tr>
    </w:tbl>
    <w:p w:rsidR="000D1FAD" w:rsidRPr="00F35A14" w:rsidRDefault="0080173B" w:rsidP="0080173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35A14">
        <w:rPr>
          <w:rFonts w:ascii="Times New Roman" w:hAnsi="Times New Roman" w:cs="Times New Roman"/>
          <w:sz w:val="24"/>
          <w:szCs w:val="24"/>
          <w:u w:val="single"/>
        </w:rPr>
        <w:t>Project 4 Report</w:t>
      </w:r>
    </w:p>
    <w:p w:rsidR="007757D4" w:rsidRDefault="007757D4" w:rsidP="0080173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064F" w:rsidRDefault="0012064F" w:rsidP="0080173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064F" w:rsidRDefault="0012064F" w:rsidP="0080173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9892A4" wp14:editId="1A3E5926">
            <wp:extent cx="5943600" cy="31337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69E6A2-CE01-4969-90C3-88A3F0A72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35A14" w:rsidRDefault="00F35A14" w:rsidP="00F35A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A14" w:rsidRDefault="00F35A14" w:rsidP="00F35A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35A14">
        <w:rPr>
          <w:rFonts w:ascii="Times New Roman" w:hAnsi="Times New Roman" w:cs="Times New Roman"/>
          <w:sz w:val="24"/>
          <w:szCs w:val="24"/>
          <w:u w:val="single"/>
        </w:rPr>
        <w:lastRenderedPageBreak/>
        <w:t>Prediction</w:t>
      </w:r>
    </w:p>
    <w:p w:rsidR="007757D4" w:rsidRPr="00F35A14" w:rsidRDefault="00F35A14" w:rsidP="002965AE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064F">
        <w:rPr>
          <w:rFonts w:ascii="Times New Roman" w:hAnsi="Times New Roman" w:cs="Times New Roman"/>
          <w:sz w:val="24"/>
          <w:szCs w:val="24"/>
        </w:rPr>
        <w:t xml:space="preserve">I predict it will take </w:t>
      </w:r>
      <w:r w:rsidR="00DB5059">
        <w:rPr>
          <w:rFonts w:ascii="Times New Roman" w:hAnsi="Times New Roman" w:cs="Times New Roman"/>
          <w:sz w:val="24"/>
          <w:szCs w:val="24"/>
        </w:rPr>
        <w:t xml:space="preserve">about </w:t>
      </w:r>
      <w:r>
        <w:rPr>
          <w:rFonts w:ascii="Times New Roman" w:hAnsi="Times New Roman" w:cs="Times New Roman"/>
          <w:sz w:val="24"/>
          <w:szCs w:val="24"/>
        </w:rPr>
        <w:t xml:space="preserve">1,062.4 seconds to sort an array of size one million and </w:t>
      </w:r>
      <w:r w:rsidR="00DB5059">
        <w:rPr>
          <w:rFonts w:ascii="Times New Roman" w:hAnsi="Times New Roman" w:cs="Times New Roman"/>
          <w:sz w:val="24"/>
          <w:szCs w:val="24"/>
        </w:rPr>
        <w:t xml:space="preserve">about </w:t>
      </w:r>
      <w:r>
        <w:rPr>
          <w:rFonts w:ascii="Times New Roman" w:hAnsi="Times New Roman" w:cs="Times New Roman"/>
          <w:sz w:val="24"/>
          <w:szCs w:val="24"/>
        </w:rPr>
        <w:t>42,496 seconds for an array of ten million</w:t>
      </w:r>
      <w:r w:rsidR="0086709A">
        <w:rPr>
          <w:rFonts w:ascii="Times New Roman" w:hAnsi="Times New Roman" w:cs="Times New Roman"/>
          <w:sz w:val="24"/>
          <w:szCs w:val="24"/>
        </w:rPr>
        <w:t xml:space="preserve"> using the insertion sort</w:t>
      </w:r>
      <w:r>
        <w:rPr>
          <w:rFonts w:ascii="Times New Roman" w:hAnsi="Times New Roman" w:cs="Times New Roman"/>
          <w:sz w:val="24"/>
          <w:szCs w:val="24"/>
        </w:rPr>
        <w:t xml:space="preserve">. I arrived at this conclusion </w:t>
      </w:r>
      <w:r w:rsidR="00C052A2">
        <w:rPr>
          <w:rFonts w:ascii="Times New Roman" w:hAnsi="Times New Roman" w:cs="Times New Roman"/>
          <w:sz w:val="24"/>
          <w:szCs w:val="24"/>
        </w:rPr>
        <w:t>because</w:t>
      </w:r>
      <w:r w:rsidR="00DB5059">
        <w:rPr>
          <w:rFonts w:ascii="Times New Roman" w:hAnsi="Times New Roman" w:cs="Times New Roman"/>
          <w:sz w:val="24"/>
          <w:szCs w:val="24"/>
        </w:rPr>
        <w:t xml:space="preserve"> </w:t>
      </w:r>
      <w:r w:rsidR="00173E8E">
        <w:rPr>
          <w:rFonts w:ascii="Times New Roman" w:hAnsi="Times New Roman" w:cs="Times New Roman"/>
          <w:sz w:val="24"/>
          <w:szCs w:val="24"/>
        </w:rPr>
        <w:t xml:space="preserve">the time </w:t>
      </w:r>
      <w:r w:rsidR="002965AE">
        <w:rPr>
          <w:rFonts w:ascii="Times New Roman" w:hAnsi="Times New Roman" w:cs="Times New Roman"/>
          <w:sz w:val="24"/>
          <w:szCs w:val="24"/>
        </w:rPr>
        <w:t xml:space="preserve">it takes to </w:t>
      </w:r>
      <w:r w:rsidR="003278C9">
        <w:rPr>
          <w:rFonts w:ascii="Times New Roman" w:hAnsi="Times New Roman" w:cs="Times New Roman"/>
          <w:sz w:val="24"/>
          <w:szCs w:val="24"/>
        </w:rPr>
        <w:t>sort size</w:t>
      </w:r>
      <w:bookmarkStart w:id="0" w:name="_GoBack"/>
      <w:bookmarkEnd w:id="0"/>
      <w:r w:rsidR="002965AE">
        <w:rPr>
          <w:rFonts w:ascii="Times New Roman" w:hAnsi="Times New Roman" w:cs="Times New Roman"/>
          <w:sz w:val="24"/>
          <w:szCs w:val="24"/>
        </w:rPr>
        <w:t xml:space="preserve"> twenty thousand is about four times the amount of time it takes to </w:t>
      </w:r>
      <w:r w:rsidR="003278C9">
        <w:rPr>
          <w:rFonts w:ascii="Times New Roman" w:hAnsi="Times New Roman" w:cs="Times New Roman"/>
          <w:sz w:val="24"/>
          <w:szCs w:val="24"/>
        </w:rPr>
        <w:t>sort size</w:t>
      </w:r>
      <w:r w:rsidR="002965AE">
        <w:rPr>
          <w:rFonts w:ascii="Times New Roman" w:hAnsi="Times New Roman" w:cs="Times New Roman"/>
          <w:sz w:val="24"/>
          <w:szCs w:val="24"/>
        </w:rPr>
        <w:t xml:space="preserve"> ten thousand.</w:t>
      </w:r>
      <w:r w:rsidR="00C53C4C">
        <w:rPr>
          <w:rFonts w:ascii="Times New Roman" w:hAnsi="Times New Roman" w:cs="Times New Roman"/>
          <w:sz w:val="24"/>
          <w:szCs w:val="24"/>
        </w:rPr>
        <w:t xml:space="preserve"> </w:t>
      </w:r>
      <w:r w:rsidR="0086709A">
        <w:rPr>
          <w:rFonts w:ascii="Times New Roman" w:hAnsi="Times New Roman" w:cs="Times New Roman"/>
          <w:sz w:val="24"/>
          <w:szCs w:val="24"/>
        </w:rPr>
        <w:t xml:space="preserve">Each time there is an increase by a power of ten it will be four times the </w:t>
      </w:r>
      <w:r w:rsidR="00C218D8">
        <w:rPr>
          <w:rFonts w:ascii="Times New Roman" w:hAnsi="Times New Roman" w:cs="Times New Roman"/>
          <w:sz w:val="24"/>
          <w:szCs w:val="24"/>
        </w:rPr>
        <w:t xml:space="preserve">amount of time, this is because the algorithm is O(n^2). </w:t>
      </w:r>
      <w:r w:rsidR="00453FEA">
        <w:rPr>
          <w:rFonts w:ascii="Times New Roman" w:hAnsi="Times New Roman" w:cs="Times New Roman"/>
          <w:sz w:val="24"/>
          <w:szCs w:val="24"/>
        </w:rPr>
        <w:t>So,</w:t>
      </w:r>
      <w:r w:rsidR="00C53C4C">
        <w:rPr>
          <w:rFonts w:ascii="Times New Roman" w:hAnsi="Times New Roman" w:cs="Times New Roman"/>
          <w:sz w:val="24"/>
          <w:szCs w:val="24"/>
        </w:rPr>
        <w:t xml:space="preserve"> to get from one hundred thousand </w:t>
      </w:r>
      <w:r w:rsidR="00E869D5">
        <w:rPr>
          <w:rFonts w:ascii="Times New Roman" w:hAnsi="Times New Roman" w:cs="Times New Roman"/>
          <w:sz w:val="24"/>
          <w:szCs w:val="24"/>
        </w:rPr>
        <w:t>to ten million is ten times what it would take to get the time fo</w:t>
      </w:r>
      <w:r w:rsidR="002965AE">
        <w:rPr>
          <w:rFonts w:ascii="Times New Roman" w:hAnsi="Times New Roman" w:cs="Times New Roman"/>
          <w:sz w:val="24"/>
          <w:szCs w:val="24"/>
        </w:rPr>
        <w:t>r an increase of ten thousand.</w:t>
      </w:r>
      <w:r w:rsidR="00E869D5">
        <w:rPr>
          <w:rFonts w:ascii="Times New Roman" w:hAnsi="Times New Roman" w:cs="Times New Roman"/>
          <w:sz w:val="24"/>
          <w:szCs w:val="24"/>
        </w:rPr>
        <w:t xml:space="preserve"> I multiplied forty </w:t>
      </w:r>
      <w:r w:rsidR="002965AE">
        <w:rPr>
          <w:rFonts w:ascii="Times New Roman" w:hAnsi="Times New Roman" w:cs="Times New Roman"/>
          <w:sz w:val="24"/>
          <w:szCs w:val="24"/>
        </w:rPr>
        <w:t>by</w:t>
      </w:r>
      <w:r w:rsidR="00E869D5">
        <w:rPr>
          <w:rFonts w:ascii="Times New Roman" w:hAnsi="Times New Roman" w:cs="Times New Roman"/>
          <w:sz w:val="24"/>
          <w:szCs w:val="24"/>
        </w:rPr>
        <w:t xml:space="preserve"> the time it would take to sort an input of size one hundred thousand to get </w:t>
      </w:r>
      <w:r w:rsidR="002965AE">
        <w:rPr>
          <w:rFonts w:ascii="Times New Roman" w:hAnsi="Times New Roman" w:cs="Times New Roman"/>
          <w:sz w:val="24"/>
          <w:szCs w:val="24"/>
        </w:rPr>
        <w:t>the time</w:t>
      </w:r>
      <w:r w:rsidR="00E869D5">
        <w:rPr>
          <w:rFonts w:ascii="Times New Roman" w:hAnsi="Times New Roman" w:cs="Times New Roman"/>
          <w:sz w:val="24"/>
          <w:szCs w:val="24"/>
        </w:rPr>
        <w:t xml:space="preserve"> it would take for an input size of one million</w:t>
      </w:r>
      <w:r w:rsidR="002965AE">
        <w:rPr>
          <w:rFonts w:ascii="Times New Roman" w:hAnsi="Times New Roman" w:cs="Times New Roman"/>
          <w:sz w:val="24"/>
          <w:szCs w:val="24"/>
        </w:rPr>
        <w:t xml:space="preserve"> and multiplied that by forty to get the time for size ten million</w:t>
      </w:r>
      <w:r w:rsidR="00E869D5">
        <w:rPr>
          <w:rFonts w:ascii="Times New Roman" w:hAnsi="Times New Roman" w:cs="Times New Roman"/>
          <w:sz w:val="24"/>
          <w:szCs w:val="24"/>
        </w:rPr>
        <w:t xml:space="preserve">. </w:t>
      </w:r>
      <w:r w:rsidR="00C53C4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757D4" w:rsidRPr="00F35A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8F7" w:rsidRDefault="005D78F7" w:rsidP="000D1FAD">
      <w:pPr>
        <w:spacing w:after="0" w:line="240" w:lineRule="auto"/>
      </w:pPr>
      <w:r>
        <w:separator/>
      </w:r>
    </w:p>
  </w:endnote>
  <w:endnote w:type="continuationSeparator" w:id="0">
    <w:p w:rsidR="005D78F7" w:rsidRDefault="005D78F7" w:rsidP="000D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8F7" w:rsidRDefault="005D78F7" w:rsidP="000D1FAD">
      <w:pPr>
        <w:spacing w:after="0" w:line="240" w:lineRule="auto"/>
      </w:pPr>
      <w:r>
        <w:separator/>
      </w:r>
    </w:p>
  </w:footnote>
  <w:footnote w:type="continuationSeparator" w:id="0">
    <w:p w:rsidR="005D78F7" w:rsidRDefault="005D78F7" w:rsidP="000D1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73B" w:rsidRPr="0080173B" w:rsidRDefault="0080173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0173B">
      <w:rPr>
        <w:rFonts w:ascii="Times New Roman" w:hAnsi="Times New Roman" w:cs="Times New Roman"/>
        <w:sz w:val="24"/>
        <w:szCs w:val="24"/>
      </w:rPr>
      <w:t xml:space="preserve">Tice </w:t>
    </w:r>
    <w:sdt>
      <w:sdtPr>
        <w:rPr>
          <w:rFonts w:ascii="Times New Roman" w:hAnsi="Times New Roman" w:cs="Times New Roman"/>
          <w:sz w:val="24"/>
          <w:szCs w:val="24"/>
        </w:rPr>
        <w:id w:val="-6128285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0173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0173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0173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278C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0173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80173B" w:rsidRPr="0080173B" w:rsidRDefault="0080173B" w:rsidP="0080173B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AD"/>
    <w:rsid w:val="00041C36"/>
    <w:rsid w:val="000D1FAD"/>
    <w:rsid w:val="0012064F"/>
    <w:rsid w:val="00133C5B"/>
    <w:rsid w:val="00146F67"/>
    <w:rsid w:val="00173E8E"/>
    <w:rsid w:val="00180A3C"/>
    <w:rsid w:val="002965AE"/>
    <w:rsid w:val="003278C9"/>
    <w:rsid w:val="00453FEA"/>
    <w:rsid w:val="004A3C9C"/>
    <w:rsid w:val="004C0C16"/>
    <w:rsid w:val="004D288F"/>
    <w:rsid w:val="005355DB"/>
    <w:rsid w:val="005D78F7"/>
    <w:rsid w:val="00667D33"/>
    <w:rsid w:val="007757D4"/>
    <w:rsid w:val="00796A77"/>
    <w:rsid w:val="007A6753"/>
    <w:rsid w:val="007C4053"/>
    <w:rsid w:val="0080173B"/>
    <w:rsid w:val="0086709A"/>
    <w:rsid w:val="00906273"/>
    <w:rsid w:val="009A53D6"/>
    <w:rsid w:val="009B526A"/>
    <w:rsid w:val="00C052A2"/>
    <w:rsid w:val="00C218D8"/>
    <w:rsid w:val="00C53C4C"/>
    <w:rsid w:val="00DB5059"/>
    <w:rsid w:val="00E70332"/>
    <w:rsid w:val="00E869D5"/>
    <w:rsid w:val="00E91FD1"/>
    <w:rsid w:val="00F3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DD34"/>
  <w15:chartTrackingRefBased/>
  <w15:docId w15:val="{9F1C4722-A2E8-4B65-95BB-5ABF8174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FAD"/>
  </w:style>
  <w:style w:type="paragraph" w:styleId="Footer">
    <w:name w:val="footer"/>
    <w:basedOn w:val="Normal"/>
    <w:link w:val="FooterChar"/>
    <w:uiPriority w:val="99"/>
    <w:unhideWhenUsed/>
    <w:rsid w:val="000D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  <a:r>
              <a:rPr lang="en-US" baseline="0"/>
              <a:t> Sort vs. Merge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for insertion Sort(O(n^2))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2,000</c:v>
                </c:pt>
                <c:pt idx="1">
                  <c:v>4,000</c:v>
                </c:pt>
                <c:pt idx="2">
                  <c:v>10,000</c:v>
                </c:pt>
                <c:pt idx="3">
                  <c:v>20,000</c:v>
                </c:pt>
                <c:pt idx="4">
                  <c:v>50,000</c:v>
                </c:pt>
                <c:pt idx="5">
                  <c:v>100,00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2.4E-2</c:v>
                </c:pt>
                <c:pt idx="1">
                  <c:v>3.5999999999999997E-2</c:v>
                </c:pt>
                <c:pt idx="2">
                  <c:v>0.23200000000000001</c:v>
                </c:pt>
                <c:pt idx="3">
                  <c:v>0.95599999999999996</c:v>
                </c:pt>
                <c:pt idx="4">
                  <c:v>6.4080000000000004</c:v>
                </c:pt>
                <c:pt idx="5">
                  <c:v>26.56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1A-4EF3-8144-D3B796B647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 for merge Sort(O(n log n))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2,000</c:v>
                </c:pt>
                <c:pt idx="1">
                  <c:v>4,000</c:v>
                </c:pt>
                <c:pt idx="2">
                  <c:v>10,000</c:v>
                </c:pt>
                <c:pt idx="3">
                  <c:v>20,000</c:v>
                </c:pt>
                <c:pt idx="4">
                  <c:v>50,000</c:v>
                </c:pt>
                <c:pt idx="5">
                  <c:v>100,00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4.0000000000000001E-3</c:v>
                </c:pt>
                <c:pt idx="2">
                  <c:v>8.0000000000000002E-3</c:v>
                </c:pt>
                <c:pt idx="3">
                  <c:v>1.6E-2</c:v>
                </c:pt>
                <c:pt idx="4">
                  <c:v>5.1999999999999998E-2</c:v>
                </c:pt>
                <c:pt idx="5">
                  <c:v>0.104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1A-4EF3-8144-D3B796B647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5892016"/>
        <c:axId val="385894312"/>
      </c:lineChart>
      <c:catAx>
        <c:axId val="385892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Input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94312"/>
        <c:crosses val="autoZero"/>
        <c:auto val="1"/>
        <c:lblAlgn val="ctr"/>
        <c:lblOffset val="100"/>
        <c:noMultiLvlLbl val="0"/>
      </c:catAx>
      <c:valAx>
        <c:axId val="385894312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9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Tice</dc:creator>
  <cp:keywords/>
  <dc:description/>
  <cp:lastModifiedBy>Jon Tice</cp:lastModifiedBy>
  <cp:revision>25</cp:revision>
  <dcterms:created xsi:type="dcterms:W3CDTF">2017-03-27T02:04:00Z</dcterms:created>
  <dcterms:modified xsi:type="dcterms:W3CDTF">2017-03-27T20:46:00Z</dcterms:modified>
</cp:coreProperties>
</file>