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Toc81037967"/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摘要</w:t>
      </w:r>
      <w:r>
        <w:rPr>
          <w:rFonts w:hint="eastAsia"/>
          <w:color w:val="FF0000"/>
          <w:lang w:val="en-US" w:eastAsia="zh-CN"/>
        </w:rPr>
        <w:t>（研究内容、研究方法、研究结论各提供1-2句话概括，总字数100字以内）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提出监管链共识算法的设计需求，完成算法的技术实现。通过划分网络节点、构建节点评价指标体系、设计权威节点选举机制算法，实现了信用节点候选集构建和信用节点非交互式动态更新。本研究将有效支撑下一阶段PBFT算法改进、吞吐量提高、应用共识解耦等工作。</w:t>
      </w:r>
    </w:p>
    <w:p>
      <w:pPr>
        <w:rPr>
          <w:rFonts w:hint="eastAsia"/>
          <w:color w:val="FF0000"/>
          <w:lang w:val="en-US" w:eastAsia="zh-CN"/>
        </w:rPr>
      </w:pPr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关键字</w:t>
      </w:r>
      <w:r>
        <w:rPr>
          <w:rFonts w:hint="eastAsia"/>
          <w:color w:val="FF0000"/>
          <w:lang w:val="en-US" w:eastAsia="zh-CN"/>
        </w:rPr>
        <w:t>（1-2个）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共识算法； 指标体系</w:t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5"/>
          <w:rFonts w:ascii="黑体" w:hAnsi="黑体" w:eastAsia="黑体"/>
          <w:b w:val="0"/>
          <w:bCs/>
          <w:color w:val="auto"/>
          <w:sz w:val="32"/>
          <w:szCs w:val="32"/>
        </w:rPr>
      </w:pPr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  <w:t>引言</w:t>
      </w:r>
      <w:bookmarkEnd w:id="0"/>
    </w:p>
    <w:p>
      <w:pPr>
        <w:spacing w:line="360" w:lineRule="auto"/>
        <w:ind w:firstLine="480" w:firstLineChars="200"/>
        <w:jc w:val="left"/>
        <w:rPr>
          <w:rStyle w:val="15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5"/>
          <w:rFonts w:hint="eastAsia" w:ascii="宋体" w:hAnsi="宋体" w:cs="宋体"/>
          <w:sz w:val="24"/>
          <w:szCs w:val="24"/>
        </w:rPr>
        <w:t>课题</w:t>
      </w:r>
      <w:r>
        <w:rPr>
          <w:rStyle w:val="15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15"/>
          <w:rFonts w:hint="eastAsia" w:ascii="宋体" w:hAnsi="宋体" w:cs="宋体"/>
          <w:sz w:val="24"/>
          <w:szCs w:val="24"/>
        </w:rPr>
        <w:t>总的研究目标是。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Style w:val="15"/>
          <w:rFonts w:hint="eastAsia" w:ascii="宋体" w:hAnsi="宋体" w:cs="宋体"/>
          <w:sz w:val="24"/>
          <w:szCs w:val="24"/>
        </w:rPr>
        <w:t>本年度，课题的研究内容主要包括以下</w:t>
      </w:r>
      <w:r>
        <w:rPr>
          <w:rStyle w:val="15"/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Style w:val="15"/>
          <w:rFonts w:hint="eastAsia" w:ascii="宋体" w:hAnsi="宋体" w:cs="宋体"/>
          <w:sz w:val="24"/>
          <w:szCs w:val="24"/>
        </w:rPr>
        <w:t>个方面。</w:t>
      </w:r>
      <w:bookmarkStart w:id="9" w:name="_GoBack"/>
      <w:bookmarkStart w:id="1" w:name="OLE_LINK2"/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各任务描述各自合同规定的阶段或年度研究任务的目标、内容、方法等要点。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）</w:t>
      </w:r>
      <w:bookmarkEnd w:id="9"/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完成2021年年度《技术进展报告》1篇。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5"/>
          <w:rFonts w:ascii="黑体" w:hAnsi="黑体" w:eastAsia="黑体"/>
          <w:b w:val="0"/>
          <w:sz w:val="24"/>
          <w:szCs w:val="24"/>
        </w:rPr>
      </w:pPr>
    </w:p>
    <w:p>
      <w:pPr>
        <w:rPr>
          <w:rStyle w:val="15"/>
          <w:rFonts w:hint="eastAsia" w:ascii="黑体" w:hAnsi="黑体" w:eastAsia="黑体"/>
          <w:b w:val="0"/>
          <w:sz w:val="32"/>
          <w:szCs w:val="32"/>
        </w:rPr>
      </w:pPr>
      <w:r>
        <w:rPr>
          <w:rStyle w:val="15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rPr>
          <w:rStyle w:val="15"/>
          <w:rFonts w:ascii="宋体" w:hAnsi="宋体"/>
          <w:b w:val="0"/>
          <w:sz w:val="32"/>
          <w:szCs w:val="32"/>
        </w:rPr>
      </w:pPr>
      <w:bookmarkStart w:id="2" w:name="_Toc81037968"/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  <w:t>研究概述</w:t>
      </w:r>
      <w:bookmarkEnd w:id="2"/>
    </w:p>
    <w:p>
      <w:pPr>
        <w:pStyle w:val="3"/>
        <w:numPr>
          <w:ilvl w:val="1"/>
          <w:numId w:val="2"/>
        </w:numPr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3" w:name="_Toc81037969"/>
      <w:r>
        <w:rPr>
          <w:rStyle w:val="15"/>
          <w:rFonts w:hint="eastAsia" w:ascii="宋体" w:hAnsi="宋体"/>
          <w:bCs/>
          <w:sz w:val="28"/>
          <w:szCs w:val="28"/>
        </w:rPr>
        <w:t>研究背景及意义</w:t>
      </w:r>
      <w:bookmarkEnd w:id="3"/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Style w:val="15"/>
          <w:rFonts w:ascii="宋体" w:hAnsi="宋体" w:cs="宋体"/>
          <w:sz w:val="24"/>
          <w:szCs w:val="24"/>
        </w:rPr>
      </w:pPr>
      <w:r>
        <w:rPr>
          <w:rStyle w:val="15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4" w:name="_Toc81037970"/>
      <w:r>
        <w:rPr>
          <w:rStyle w:val="15"/>
          <w:rFonts w:hint="eastAsia" w:ascii="宋体" w:hAnsi="宋体"/>
          <w:bCs/>
          <w:sz w:val="28"/>
          <w:szCs w:val="28"/>
        </w:rPr>
        <w:t>课题</w:t>
      </w: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5"/>
          <w:rFonts w:hint="eastAsia" w:ascii="宋体" w:hAnsi="宋体"/>
          <w:bCs/>
          <w:sz w:val="28"/>
          <w:szCs w:val="28"/>
        </w:rPr>
        <w:t>与其它课题的关系</w:t>
      </w:r>
      <w:bookmarkEnd w:id="4"/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</w:pPr>
      <w:r>
        <w:rPr>
          <w:rStyle w:val="15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5" w:name="_Toc81037971"/>
      <w:bookmarkStart w:id="6" w:name="OLE_LINK1"/>
      <w:r>
        <w:rPr>
          <w:rStyle w:val="15"/>
          <w:rFonts w:hint="eastAsia" w:ascii="宋体" w:hAnsi="宋体"/>
          <w:bCs/>
          <w:sz w:val="28"/>
          <w:szCs w:val="28"/>
        </w:rPr>
        <w:t>课题</w:t>
      </w: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5"/>
          <w:rFonts w:hint="eastAsia" w:ascii="宋体" w:hAnsi="宋体"/>
          <w:bCs/>
          <w:sz w:val="28"/>
          <w:szCs w:val="28"/>
        </w:rPr>
        <w:t>研究内容</w:t>
      </w:r>
      <w:bookmarkEnd w:id="5"/>
    </w:p>
    <w:bookmarkEnd w:id="6"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拟解决的关键科学与技术问题</w:t>
      </w:r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（各写1-2个）</w:t>
      </w:r>
    </w:p>
    <w:p>
      <w:pPr>
        <w:bidi w:val="0"/>
        <w:ind w:firstLine="420" w:firstLineChars="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设计满足监管需求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安全可信、吞吐量高、易扩展的监管链；并</w:t>
      </w:r>
      <w:r>
        <w:rPr>
          <w:rFonts w:hint="default"/>
          <w:lang w:val="en-US" w:eastAsia="zh-CN"/>
        </w:rPr>
        <w:t>以实用拜占庭容错</w:t>
      </w:r>
      <w:r>
        <w:rPr>
          <w:rFonts w:hint="eastAsia"/>
          <w:lang w:val="en-US" w:eastAsia="zh-CN"/>
        </w:rPr>
        <w:t>[1]</w:t>
      </w:r>
      <w:r>
        <w:rPr>
          <w:rFonts w:hint="default"/>
          <w:lang w:val="en-US" w:eastAsia="zh-CN"/>
        </w:rPr>
        <w:t>、POA</w:t>
      </w:r>
      <w:r>
        <w:rPr>
          <w:rFonts w:hint="eastAsia"/>
          <w:lang w:val="en-US" w:eastAsia="zh-CN"/>
        </w:rPr>
        <w:t>[2]</w:t>
      </w:r>
      <w:r>
        <w:rPr>
          <w:rFonts w:hint="default"/>
          <w:lang w:val="en-US" w:eastAsia="zh-CN"/>
        </w:rPr>
        <w:t>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拟开展的主要研究内容</w:t>
      </w:r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（任务研究内容）（一段话）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联盟链环境下的新型共识算法，设计基于实用拜占庭容错（PBFT）[3]等基础算法的快速共识方法，探索交易元数据提取与优化、交易背书与验证并行化、节点角色动态调整[4][5][6]、节点信用分级与排序等机制，解决固定功能节点易遭攻击、大规模交易高并发造成的网络风暴等问题，提高监管链的安全性与效率。</w:t>
      </w:r>
    </w:p>
    <w:p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bookmarkStart w:id="7" w:name="_Toc81037972"/>
      <w:r>
        <w:rPr>
          <w:rStyle w:val="15"/>
          <w:rFonts w:hint="eastAsia" w:ascii="宋体" w:hAnsi="宋体"/>
          <w:bCs/>
          <w:sz w:val="28"/>
          <w:szCs w:val="28"/>
        </w:rPr>
        <w:t>研究技术路线</w:t>
      </w:r>
      <w:bookmarkEnd w:id="7"/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（任务技术路线）（文字+至少1张图）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的新型共识机制拟采用联盟链的拜占庭容错算法为基础架构，拟通过抽取交易的基础元数据重建交易的排序流程，并优化验证协议以充分实现背书策略验证等操作的并行化，大幅提高系统的吞吐率；拟构建节点候选集，利用可验证随机函数等密码学技术设计非交互式选举协议，实现背书节点等重要角色的动态更新，并引入信用模型对节点进行分级排序，实现应用层的信任机制同底层共识协议的解耦，提高系统的安全性与可扩展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1.1，本研究基于基础区块链数据结构和密码学原理[7]，扩展了区块的数据结构，满足监管链共识算法数据层要求。根据节点类型设计整体分层网络，局部扁平P2P网络，分层结构实现网络低成本扩容与演进。共识算法包括优化验证流程和评价指标体系两部分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验证流程改进事务元数据，重构事务排序，并利用事务数据缓存和并行验证的方法提升网络吞吐量[8][9]。评价指标体系根据节点功能划分节点类型，建立节点演进模型，支撑建立节点信用评价。量化信用节点关键指标，基于演进模型、网络性能、安全需求、扩展能力，设计信用节点评价算法，以非交互、无感知、平滑地方式实现节点动态更新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08145" cy="431990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55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图1.1 监管链共识算法技术路线图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br w:type="page"/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5"/>
          <w:rFonts w:hint="default" w:ascii="黑体" w:hAnsi="黑体" w:eastAsia="黑体"/>
          <w:b w:val="0"/>
          <w:sz w:val="24"/>
          <w:szCs w:val="24"/>
          <w:lang w:val="en-US" w:eastAsia="zh-CN"/>
        </w:rPr>
      </w:pPr>
      <w:bookmarkStart w:id="8" w:name="_Toc81037978"/>
      <w:r>
        <w:rPr>
          <w:rStyle w:val="15"/>
          <w:rFonts w:hint="eastAsia" w:ascii="黑体" w:hAnsi="黑体" w:eastAsia="黑体"/>
          <w:b w:val="0"/>
          <w:color w:val="FF0000"/>
          <w:sz w:val="24"/>
          <w:szCs w:val="24"/>
          <w:lang w:val="en-US" w:eastAsia="zh-CN"/>
        </w:rPr>
        <w:t>（各任务阐述</w:t>
      </w:r>
      <w:r>
        <w:rPr>
          <w:rStyle w:val="15"/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阶段研究的过程、技术内容、进展或阶段成果，提供必要的数据图表）</w:t>
      </w:r>
    </w:p>
    <w:p>
      <w:pPr>
        <w:pStyle w:val="2"/>
        <w:adjustRightInd w:val="0"/>
        <w:snapToGrid w:val="0"/>
        <w:spacing w:before="100" w:after="100"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15"/>
          <w:rFonts w:hint="eastAsia" w:ascii="黑体" w:hAnsi="黑体" w:eastAsia="黑体"/>
          <w:b w:val="0"/>
          <w:sz w:val="32"/>
          <w:szCs w:val="32"/>
        </w:rPr>
        <w:t xml:space="preserve"> </w:t>
      </w:r>
      <w:r>
        <w:rPr>
          <w:rStyle w:val="15"/>
          <w:rFonts w:hint="eastAsia" w:ascii="黑体" w:hAnsi="黑体" w:eastAsia="黑体"/>
          <w:b w:val="0"/>
          <w:sz w:val="32"/>
          <w:szCs w:val="32"/>
          <w:lang w:val="en-US" w:eastAsia="zh-CN"/>
        </w:rPr>
        <w:t>“以链治链”架构下的监管链共识算法</w:t>
      </w:r>
      <w:r>
        <w:rPr>
          <w:rStyle w:val="15"/>
          <w:rFonts w:hint="eastAsia" w:ascii="黑体" w:hAnsi="黑体" w:eastAsia="黑体"/>
          <w:b w:val="0"/>
          <w:color w:val="FF0000"/>
          <w:sz w:val="32"/>
          <w:szCs w:val="32"/>
          <w:lang w:eastAsia="zh-CN"/>
        </w:rPr>
        <w:t>（</w:t>
      </w:r>
      <w:r>
        <w:rPr>
          <w:rStyle w:val="15"/>
          <w:rFonts w:hint="eastAsia" w:ascii="黑体" w:hAnsi="黑体" w:eastAsia="黑体"/>
          <w:b w:val="0"/>
          <w:color w:val="FF0000"/>
          <w:sz w:val="32"/>
          <w:szCs w:val="32"/>
          <w:lang w:val="en-US" w:eastAsia="zh-CN"/>
        </w:rPr>
        <w:t>各任务名字）</w:t>
      </w:r>
      <w:bookmarkEnd w:id="8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sz w:val="28"/>
          <w:szCs w:val="28"/>
        </w:rPr>
      </w:pPr>
      <w:r>
        <w:rPr>
          <w:rStyle w:val="15"/>
          <w:rFonts w:hint="eastAsia" w:ascii="宋体" w:hAnsi="宋体"/>
          <w:sz w:val="28"/>
          <w:szCs w:val="28"/>
          <w:lang w:val="en-US" w:eastAsia="zh-CN"/>
        </w:rPr>
        <w:t>阶段性研究内容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：设计满足监管链需求的区块结构，支撑监管链共识算法实现。设计监管链共识算法，利用事务数据缓存[10]和并行验证[11]的方法提升网络吞吐量。构建信用节点评价指标体系，实现节点非交互式动态更新。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研究技术路线（技术实现方法）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监管链区块设计：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本研究扩展了区块链基本块结构，提出了监管区块结构的设计。设计思路如图2.1所示，本研究扩展了区块的事务消息内容，包括基本的操作信息Base Info、节点的状态信息Sys.Node Info和控制信息Control Info。节点信息用于维护信用节点评价指标体系，实现监督链节点相关数值的量化监控和评价，通过评价算法筛选合适节点构建节点候选集，实现节点的非交互、无感知、平滑地动态更新。控制信息包括授权信息和审计信息，用于监管链的扩容，提高系统吞吐量。</w:t>
      </w:r>
    </w:p>
    <w:p>
      <w:pPr>
        <w:jc w:val="center"/>
      </w:pPr>
      <w:r>
        <w:drawing>
          <wp:inline distT="0" distB="0" distL="114300" distR="114300">
            <wp:extent cx="3663950" cy="21602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图2.1 监管链区块结构基本设计思路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联盟链为基础的监管链摒弃了公共链通过PoW[12]缓解拜占庭错误的方案[13]，强化了权威节点的作用和能力。联盟链的权威节点通过了合法验证，降低作恶风险。本研究提出了信用节点评价指标，包括节点稳定度、节点联通度、数据合法性和哈希率。这四个指标综合反映了一个节点在审计链中的安全性、可靠性、稳定性和可用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信用节点分类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审计链的节点逻辑上分为三类：客户节点、中间节点和权威节点。通过强化权威节点保证审计链的工作效率，但权威节点并非一成不变。通过信用节点评价指标体系，对三类节点进行度量和评价。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节点动态更新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2.2信用节点分类与状态迁移，新加入的节点被认为是恶意节点，只有被评价指标体系认可的节点才能称为合法的节点，而且三种节点的身份可以相互转化。三种节点在功能上有重叠，权威节点拥有客户节点和中间节点所有的能力，中间节点具备客户节点的所有能力。</w:t>
      </w:r>
    </w:p>
    <w:p>
      <w:pPr>
        <w:jc w:val="center"/>
      </w:pPr>
      <w:r>
        <w:drawing>
          <wp:inline distT="0" distB="0" distL="114300" distR="114300">
            <wp:extent cx="5273675" cy="145351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图2.2 信用节点分类与状态迁移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非交互式选举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通过非交互式选举方式实现权威节点的动态更新。通过2.2.2信用节点评价体系，构造权威节点候选集，并持续动态更新该集合。根据监管链的需要，权威节点通过候选集实时更新。被淘汰的节点失去权威节点身份，由候选集补充。权威节点之间通过内部协议达成快速共识[14]。每次补充的权威节点在本次共识结束后加入网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权威节点的选择通过2.3成果展示的信用节点评价指标体系通过全网选举产生，选举活动和节点更新动作是异步的，不会造成阻塞，因此更新将非交互、无感知、平滑的完成。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网络扁平设计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管链的三种节点组成立体扁平P2P网络结构。根据节点类型设计整体分层网络，局部扁平P2P网络，分层结构实现网络低成本扩容与演进。如图2.3所示，低层级节点向高层级节点汇聚，节点之间组成P2P的扁平拓扑结构。不同层级的组网自下而上，组成立体网络，并保持去中心化结构。</w:t>
      </w:r>
    </w:p>
    <w:p>
      <w:pPr>
        <w:jc w:val="center"/>
      </w:pPr>
      <w:r>
        <w:drawing>
          <wp:inline distT="0" distB="0" distL="114300" distR="114300">
            <wp:extent cx="5269230" cy="235267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图2.3 监管链分层扁平网络结构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进展或阶段性成果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的设计。将监督链节点划分为客户节点、中间节点、权威节点三种类型。提取三种节点的共性指标，对其量化描述，依据信用节点评价指标体系构建节点演进算法从而构建候选集。依赖候选集通过非交互式地进行节点的动态更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信用节点评价指标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在2.2.3中将节点分为三类。权威</w:t>
      </w:r>
      <w:r>
        <w:rPr>
          <w:rFonts w:hint="eastAsia"/>
          <w:lang w:val="en-US" w:eastAsia="zh-Hans"/>
        </w:rPr>
        <w:t>节点是可信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eastAsia"/>
          <w:lang w:val="en-US" w:eastAsia="zh-CN"/>
        </w:rPr>
        <w:t>，同时应当具备一定算力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我们提出了多项指标评估一个节点是否具备能力担任</w:t>
      </w:r>
      <w:r>
        <w:rPr>
          <w:rFonts w:hint="eastAsia"/>
          <w:lang w:val="en-US" w:eastAsia="zh-CN"/>
        </w:rPr>
        <w:t>权威</w:t>
      </w:r>
      <w:r>
        <w:rPr>
          <w:rFonts w:hint="eastAsia"/>
          <w:lang w:val="en-US" w:eastAsia="zh-Hans"/>
        </w:rPr>
        <w:t>节点</w:t>
      </w:r>
      <w:r>
        <w:rPr>
          <w:rFonts w:hint="eastAsia"/>
          <w:lang w:val="en-US" w:eastAsia="zh-CN"/>
        </w:rPr>
        <w:t>角色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我们从节点的在线时长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联通度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误码率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算力等方面考量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Stability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Value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SV</w:t>
      </w:r>
      <w:r>
        <w:rPr>
          <w:rFonts w:hint="default"/>
          <w:b/>
          <w:bCs/>
          <w:lang w:eastAsia="zh-Hans"/>
        </w:rPr>
        <w:t>)：</w:t>
      </w:r>
      <w:r>
        <w:rPr>
          <w:rFonts w:hint="eastAsia"/>
          <w:lang w:val="en-US" w:eastAsia="zh-Hans"/>
        </w:rPr>
        <w:t>稳定度反映了一个节点在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中的稳定在线时长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只有SV超过预设特定阈值的节点才有资格成为核心节点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所有节点组成的网络拓扑结构是动态变化的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有的节点稳定在线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有的节点频繁的上线和下线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我们假设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核心节点在一个时间片段t内数量是固定的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平均核心节点算力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核心节点数量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当前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的总算力s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算力s刚好满足当前网络处理数据的要求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但是比例m的节点在线时间不稳定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为了保证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的业务处理最低能力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只能保守地把全网算力降为s</w:t>
      </w:r>
      <w:r>
        <w:rPr>
          <w:rFonts w:hint="default"/>
          <w:lang w:eastAsia="zh-Hans"/>
        </w:rPr>
        <w:t xml:space="preserve"> = (1-m)·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对应的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需要降低区块的目标难度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显然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的整体算力变化应该处于一个合理的区间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中提供算力的节点就需要稳定在线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一个刚加入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的节点n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在时间片段t内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在线时长t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离线时长t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离线次数Toff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要求在线时长td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SV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0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&lt;t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i = 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off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nary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+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 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off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</m:oMath>
      </m:oMathPara>
    </w:p>
    <w:p>
      <w:pPr>
        <w:ind w:firstLine="420" w:firstLineChars="0"/>
        <w:rPr>
          <w:rFonts w:hint="default" w:ascii="Calibri Bold" w:hAnsi="Calibri Bold" w:cs="Calibri Bold"/>
          <w:b w:val="0"/>
          <w:bCs w:val="0"/>
          <w:lang w:eastAsia="zh-Hans"/>
        </w:rPr>
      </w:pPr>
      <w:r>
        <w:rPr>
          <w:rFonts w:hint="default" w:ascii="Calibri Bold" w:hAnsi="Calibri Bold" w:cs="Calibri Bold"/>
          <w:b/>
          <w:bCs/>
          <w:lang w:val="en-US" w:eastAsia="zh-Hans"/>
        </w:rPr>
        <w:t>Degree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default" w:ascii="Calibri Bold" w:hAnsi="Calibri Bold" w:cs="Calibri Bold"/>
          <w:b/>
          <w:bCs/>
          <w:lang w:val="en-US" w:eastAsia="zh-Hans"/>
        </w:rPr>
        <w:t>Value</w:t>
      </w:r>
      <w:r>
        <w:rPr>
          <w:rFonts w:hint="default" w:ascii="Calibri Bold" w:hAnsi="Calibri Bold" w:cs="Calibri Bold"/>
          <w:b/>
          <w:bCs/>
          <w:lang w:eastAsia="zh-Hans"/>
        </w:rPr>
        <w:t>(DV)：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节点度是指和该节点相关联的边的条数，又称关联度。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鼓励节点与更多的节点通信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避免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出现割边或割点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的平均DV提高后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一方面提高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的稳定性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另一方面减少矿池的出现和私自挖矿等攻击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因此节点的DV越高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越可信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低DV的节点被认为是孤立的节点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</w:p>
    <w:p>
      <w:pPr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 w:val="0"/>
          <w:bCs w:val="0"/>
          <w:lang w:val="en-US" w:eastAsia="zh-Hans"/>
        </w:rPr>
        <w:t>我们假设节点n在时间片段t内与m个节点通信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那么节点n的DV为</w:t>
      </w:r>
    </w:p>
    <w:p>
      <w:pPr>
        <w:ind w:firstLine="420" w:firstLineChars="0"/>
        <w:jc w:val="center"/>
        <w:rPr>
          <w:rFonts w:ascii="Cambria Math" w:hAnsi="Cambria Math" w:cs="Calibri Bold"/>
          <w:bCs w:val="0"/>
          <w:i w:val="0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</m:t>
          </m:r>
        </m:oMath>
      </m:oMathPara>
    </w:p>
    <w:p>
      <w:pPr>
        <w:ind w:firstLine="420" w:firstLineChars="0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假设若干个节点之间相互通信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组成矿池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认为这几个节点也是逐渐变为孤立点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其DV值逐渐弱化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设定衰减系数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α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新增节点m个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DV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n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表示为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=m+α·</m:t>
          </m:r>
          <m:sSubSup>
            <m:sSubSupP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 w:val="0"/>
          <w:bCs w:val="0"/>
          <w:i w:val="0"/>
          <w:lang w:eastAsia="zh-Hans"/>
        </w:rPr>
      </w:pPr>
      <w:r>
        <w:rPr>
          <w:rFonts w:hint="default" w:ascii="Calibri Bold" w:hAnsi="Calibri Bold" w:cs="Calibri Bold"/>
          <w:b/>
          <w:bCs/>
          <w:lang w:eastAsia="zh-CN"/>
        </w:rPr>
        <w:t>V</w:t>
      </w:r>
      <w:r>
        <w:rPr>
          <w:rFonts w:hint="eastAsia" w:ascii="Calibri Bold" w:hAnsi="Calibri Bold" w:cs="Calibri Bold"/>
          <w:b/>
          <w:bCs/>
          <w:lang w:val="en-US" w:eastAsia="zh-CN"/>
        </w:rPr>
        <w:t>alidity</w:t>
      </w:r>
      <w:r>
        <w:rPr>
          <w:rFonts w:hint="default" w:ascii="Calibri Bold" w:hAnsi="Calibri Bold" w:cs="Calibri Bold"/>
          <w:b/>
          <w:bCs/>
          <w:lang w:eastAsia="zh-CN"/>
        </w:rPr>
        <w:t xml:space="preserve"> Value(VV):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数据有效性主要衡量两个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指标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一方面是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衡量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节点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在规定时间内数据传输精确性。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另一方面衡量节点在规定时间内数据的有效性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精确性体现在一个节点如果转发和确认的数据与原数据有差异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可以认为数据被修改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有效性体现在一个节点如果转发和确认的数据已经存在于区块链上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可以认为数据是无效的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VV保证了数据的正确性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避免数据被窜改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VV也避免了数据重复被确认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造成网络资源的浪费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我们假设节点n在时间片段t内的接受到数据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R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转发正确数据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 xml:space="preserve"> S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打包数据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P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确认有效数据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L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的合法性最小值是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β，有效性最小是是γ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VV的计算如下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Cambria Math" w:hAnsi="Cambria Math" w:cs="Calibri Bold"/>
          <w:bCs w:val="0"/>
          <w:i w:val="0"/>
          <w:lang w:val="en-US" w:eastAsia="zh-Han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VV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0 </m:t>
                  </m:r>
                  <m:d>
                    <m:dPr>
                      <m:ctrlPr>
                        <w:rPr>
                          <w:rFonts w:ascii="Cambria Math" w:hAnsi="Cambria Math" w:cs="Calibri Bold"/>
                          <w:bCs w:val="0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 xml:space="preserve"> S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&lt;β,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&lt;γ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 S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</m:d>
        </m:oMath>
      </m:oMathPara>
    </w:p>
    <w:p>
      <w:pPr>
        <w:bidi w:val="0"/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/>
          <w:bCs/>
          <w:lang w:val="en-US" w:eastAsia="zh-Hans"/>
        </w:rPr>
        <w:t>Computational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eastAsia" w:ascii="Calibri Bold" w:hAnsi="Calibri Bold" w:cs="Calibri Bold"/>
          <w:b/>
          <w:bCs/>
          <w:lang w:val="en-US" w:eastAsia="zh-Hans"/>
        </w:rPr>
        <w:t>Power</w:t>
      </w:r>
      <w:r>
        <w:rPr>
          <w:rFonts w:hint="default" w:ascii="Calibri Bold" w:hAnsi="Calibri Bold" w:cs="Calibri Bold"/>
          <w:b/>
          <w:bCs/>
          <w:lang w:eastAsia="zh-Hans"/>
        </w:rPr>
        <w:t>(CP):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算力（也称哈希率）是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处理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能力的度量单位。即为计算机（CPU）计算哈希函数输出的速度。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必须为了安全目的而进行密集的数学和加密相关操作。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在某一时间段t内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处理段数据量是一定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的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在t内处理这些数据需要算力m</w:t>
      </w:r>
      <w:r>
        <w:rPr>
          <w:rFonts w:hint="default" w:ascii="Calibri Bold" w:hAnsi="Calibri Bold" w:cs="Calibri Bold"/>
          <w:b w:val="0"/>
          <w:bCs w:val="0"/>
          <w:lang w:eastAsia="zh-Hans"/>
        </w:rPr>
        <w:t xml:space="preserve"> 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hash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/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s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全网符合要求的核心节点数量为n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则单节点的算力为</w:t>
      </w:r>
    </w:p>
    <w:p>
      <w:pPr>
        <w:bidi w:val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n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Calibri Bold"/>
                  <w:lang w:val="en-US"/>
                </w:rPr>
                <m:t>m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en>
          </m:f>
        </m:oMath>
      </m:oMathPara>
    </w:p>
    <w:p>
      <w:pPr>
        <w:bidi w:val="0"/>
        <w:ind w:firstLine="420" w:firstLineChars="0"/>
        <w:jc w:val="both"/>
        <w:rPr>
          <w:rFonts w:hint="eastAsia" w:ascii="Cambria Math" w:hAnsi="Cambria Math" w:cs="Calibri Bold"/>
          <w:bCs w:val="0"/>
          <w:i w:val="0"/>
          <w:lang w:val="en-US"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的数据处理能力需要不断提升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所以核心节点的数量和核心节点的算力也要提升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算力可以作为限制条件排除一些低算力的节点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算力也可以作为竞争指标增强节点的可信度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如果存在一个节点x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其算力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平均算力为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a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  <m:r>
          <m:rPr/>
          <w:rPr>
            <w:rFonts w:ascii="Cambria Math" w:hAnsi="Cambria Math" w:cs="Calibri Bold"/>
            <w:lang w:val="en-US"/>
          </w:rPr>
          <m:t xml:space="preserve"> 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且有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x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≫ </m:t>
          </m:r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a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firstLine="420" w:firstLineChars="0"/>
        <w:jc w:val="both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节点x将在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中占据主导地位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因此我们限制节点的算力不可无限膨胀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规定底数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以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hint="eastAsia" w:ascii="Cambria Math" w:hAnsi="Cambria Math" w:cs="Calibri Bold"/>
          <w:b w:val="0"/>
          <w:i w:val="0"/>
          <w:lang w:val="en-US" w:eastAsia="zh-Hans"/>
        </w:rPr>
        <w:t>为底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的对数作为算力度量值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在鼓励节点增加算力的同时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限制节点进行算力攻击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CP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= </m:t>
                  </m:r>
                  <m:func>
                    <m:func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Bold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libri Bold"/>
                    </w:rPr>
                    <m:t>δ=</m:t>
                  </m:r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m −</m:t>
                      </m:r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n −1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</w:rPr>
              </m:ctrlPr>
            </m:e>
          </m:d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多维权威节点选举机制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我们提出了多维度指标描述节点的各项性能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这些指标综合体现一个节点的可信度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节点x的可信度表示如下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center"/>
        <w:rPr>
          <w:rFonts w:ascii="Cambria Math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/>
                </w:rPr>
                <m:t>Credit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= ϵ×SV + θ ×DC+ ϑ × VV + μ  × CP</m:t>
          </m:r>
        </m:oMath>
      </m:oMathPara>
    </w:p>
    <w:p>
      <w:pPr>
        <w:jc w:val="center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mbria Math" w:hAnsi="Cambria Math"/>
          <w:i w:val="0"/>
          <w:lang w:val="en-US" w:eastAsia="zh-Hans"/>
        </w:rPr>
      </w:pPr>
      <m:oMath>
        <m:r>
          <m:rPr/>
          <w:rPr>
            <w:rFonts w:ascii="Cambria Math" w:hAnsi="Cambria Math"/>
            <w:lang w:val="en-US"/>
          </w:rPr>
          <m:t xml:space="preserve"> ϵ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θ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ϑ</m:t>
        </m:r>
      </m:oMath>
      <w:r>
        <w:rPr>
          <w:rFonts w:hint="eastAsia" w:ascii="Cambria Math" w:hAnsi="Cambria Math"/>
          <w:i w:val="0"/>
          <w:lang w:val="en-US" w:eastAsia="zh-Hans"/>
        </w:rPr>
        <w:t>和</w:t>
      </w:r>
      <m:oMath>
        <m:r>
          <m:rPr/>
          <w:rPr>
            <w:rFonts w:ascii="Cambria Math" w:hAnsi="Cambria Math"/>
            <w:lang w:val="en-US"/>
          </w:rPr>
          <m:t xml:space="preserve"> μ</m:t>
        </m:r>
      </m:oMath>
      <w:r>
        <w:rPr>
          <w:rFonts w:hint="eastAsia" w:ascii="Cambria Math" w:hAnsi="Cambria Math"/>
          <w:i w:val="0"/>
          <w:lang w:val="en-US" w:eastAsia="zh-Hans"/>
        </w:rPr>
        <w:t>表示节点x的稳定度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联通度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数据有效性和算力在可信度中的权重</w:t>
      </w:r>
      <w:r>
        <w:rPr>
          <w:rFonts w:hint="default" w:ascii="Cambria Math" w:hAnsi="Cambria Math"/>
          <w:i w:val="0"/>
          <w:lang w:eastAsia="zh-Hans"/>
        </w:rPr>
        <w:t>。</w:t>
      </w:r>
      <w:r>
        <w:rPr>
          <w:rFonts w:hint="eastAsia" w:ascii="Cambria Math" w:hAnsi="Cambria Math"/>
          <w:i w:val="0"/>
          <w:lang w:val="en-US" w:eastAsia="zh-Hans"/>
        </w:rPr>
        <w:t>根据TSN对各个指标需求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各项权重可以调整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且满足</w:t>
      </w:r>
    </w:p>
    <w:p>
      <w:pPr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r>
            <m:rPr/>
            <w:rPr>
              <w:rFonts w:ascii="Cambria Math" w:hAnsi="Cambria Math"/>
              <w:lang w:val="en-US"/>
            </w:rPr>
            <m:t>ϵ+ θ+ ϑ+ μ= 1</m:t>
          </m:r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区块与数据结构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本研究扩展了区块的事务消息内容，包括基本的操作信息Base Info、节点的状态信息Sys.Node Info和控制信息Control Info。节点信息包括2.3.1提出的信用节点评价指标，这些指标用于维护信用节点评价指标体系，实现监督链节点相关数值的量化监控和评价，通过2.3.2多维权威节点选举机制筛选合适节点构建节点候选集，实现节点的非交互、无感知、平滑地动态更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2.4是区块结构和数据结构设计，区块数据结构的设计目标是实现对被监管链审计的同时，实现网络的可扩展性。审计链在主链存储对被监管链审计的事务，随着网络扩展，主链从传统事务链平滑演进为控制链。区块将从初始区块、过渡区块、控制区块动态演进。控制链存储对扩展子链的控制信息。同时通过叔区块存储网络中的争议和分歧，并通过激励机制鼓励节点同步叔区块，并主链侄节点存储叔区块相关信息。</w:t>
      </w:r>
    </w:p>
    <w:p>
      <w:pPr>
        <w:rPr>
          <w:rFonts w:hint="default"/>
          <w:lang w:val="en-US" w:eastAsia="zh-CN"/>
        </w:rPr>
      </w:pPr>
    </w:p>
    <w:p>
      <w:pPr>
        <w:rPr>
          <w:rStyle w:val="15"/>
          <w:rFonts w:hint="default" w:ascii="宋体" w:hAnsi="宋体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919220"/>
            <wp:effectExtent l="0" t="0" r="889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图2.4 监管链区块与数据结构</w:t>
      </w:r>
    </w:p>
    <w:p>
      <w:pPr>
        <w:rPr>
          <w:rStyle w:val="15"/>
          <w:rFonts w:hint="default" w:ascii="宋体" w:hAnsi="宋体"/>
          <w:bCs/>
          <w:sz w:val="28"/>
          <w:szCs w:val="28"/>
          <w:lang w:val="en-US" w:eastAsia="zh-CN"/>
        </w:rPr>
      </w:pP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 xml:space="preserve">结论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现阶段工作已完成监管链数据结构和网络结构的初步设计思路（2.3.3），建立了实现节点分级的信用节点评价指标（2.3.1），并依据评价指标设计了多维权威节点选举算法（2.3.2）。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本阶段的工作围绕节点动态更新和候选集构建开展，缺乏对系统安全性、吞吐量和扩展性的整体思考和系统设计。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年度的工作将重点围绕PBFT性能问题，5000tps吞吐量挑战等方面展开。同时应用层和共识层的信任机制解耦需求迫切，本研究将提出应用共识解耦的具体方案。在候选集构建、节点动态更新、PBFT改进等方面形成高质量SCI论文1篇、专利1个、软件著作权1项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（阶段研究工作完成情况、经验和教训、下一年度或下一阶段的工作计划和建议）</w:t>
      </w:r>
    </w:p>
    <w:p>
      <w:pPr>
        <w:spacing w:line="360" w:lineRule="auto"/>
        <w:jc w:val="left"/>
        <w:rPr>
          <w:rStyle w:val="15"/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（参考文献的著录遵照GB/T 7714《文后参考文献著录规则》 的规定执行。）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[1]Miguel, Castro, Barbara, et al. Practical byzantine fault tolerance and proactive recovery[J]. ACM Transactions on Computer Systems, 2002, 20(4):398-461.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[2]OpenEthereum. Proof of Authority[EB/OL]. [2021.10.15]. https://github.com/paritytech/parity/wiki/Proof-of-Authority-Chains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[3]Dinh T, Wang J, Chen G, et al. BLOCKBENCH: A Framework for Analyzing Private Blockchains[J].  2017.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[4]Christian Cachin. Architecture of the hyperledger blockchain fabric[EB/OL]. 2016[2021]. https://www.zurich.ibm.com/dccl/papers/cachin_dccl.pdf.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[5]Corda. R3 Corda[EB/OL]. [2021]. https://github.com/corda/corda/.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[6]Gideon Greenspan. Multichain[EB/OL]. [2021]. https://www.multichain.com/.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[7]Bitcoin: A Peer-to-Peer Electronic Cash System[J]. Social Science Electronic Publishing.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[8]Bessani A, Sousa J, Vukoli M. A Byzantine Fault-Tolerant Ordering Service for the Hyperledger Fabric Blockchain Platform[C]// the 1st Workshop. IEEE Computer Society, 2017.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[9]Yin M, Malkhi D, Reiter M K, et al. HotStuff: BFT Consensus in the Lens of Blockchain[J]. 2018.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[10]Nathan S, Thakkar P, Vishwanathan B. Performance Benchmarking and Optimizing Hyperledger Fabric Blockchain Platform[C]// 2018 IEEE 26th International Symposium on Modeling, Analysis, and Simulation of Computer and Telecommunication Systems (MASCOTS). IEEE, 2018.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[11]Gorenflo C, Lee S, Golab L,et al. FastFabric: Scaling hyperledger fabric to 20000 transactions per second[J]. International Journal of Network Management, 2020, 30(5).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[12]Garay J, Kiayias A, Leonardos N. The Bitcoin Backbone Protocol: Analysis and Applications[C]// Springer Berlin Heidelberg. Springer Berlin Heidelberg, 2015.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[13]Vukoli M. The Quest for Scalable Blockchain Fabric: Proof-of-Work vs. BFT Replication[C]// International Workshop on Open Problems in Network Security. Springer International Publishing, 2016.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[14]Cachin C, Guerraoui R, Luís Rodrigues. Introduction to reliable and secure distributed programming[M]. 6. Springer, 2011 :281-339.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6BE7E"/>
    <w:multiLevelType w:val="multilevel"/>
    <w:tmpl w:val="9776BE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2F4991"/>
    <w:multiLevelType w:val="multilevel"/>
    <w:tmpl w:val="212F4991"/>
    <w:lvl w:ilvl="0" w:tentative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0301"/>
    <w:rsid w:val="02514E07"/>
    <w:rsid w:val="040A0593"/>
    <w:rsid w:val="04C02EAF"/>
    <w:rsid w:val="05893BD1"/>
    <w:rsid w:val="05E05548"/>
    <w:rsid w:val="06030D95"/>
    <w:rsid w:val="073E4BF1"/>
    <w:rsid w:val="08165FED"/>
    <w:rsid w:val="086D0301"/>
    <w:rsid w:val="08F35181"/>
    <w:rsid w:val="0A3B36C2"/>
    <w:rsid w:val="0A4B157B"/>
    <w:rsid w:val="0B3B11F2"/>
    <w:rsid w:val="0DA36B84"/>
    <w:rsid w:val="0EF173CE"/>
    <w:rsid w:val="0F71327A"/>
    <w:rsid w:val="0F847E83"/>
    <w:rsid w:val="10576D4C"/>
    <w:rsid w:val="1098350E"/>
    <w:rsid w:val="10BE6926"/>
    <w:rsid w:val="10D7269A"/>
    <w:rsid w:val="10F02F3B"/>
    <w:rsid w:val="10FB1086"/>
    <w:rsid w:val="113E294D"/>
    <w:rsid w:val="1301124C"/>
    <w:rsid w:val="132B08EF"/>
    <w:rsid w:val="136863E2"/>
    <w:rsid w:val="13830A96"/>
    <w:rsid w:val="144254CF"/>
    <w:rsid w:val="16F76AF7"/>
    <w:rsid w:val="176A128A"/>
    <w:rsid w:val="187B16B6"/>
    <w:rsid w:val="192F6CEA"/>
    <w:rsid w:val="1B841D80"/>
    <w:rsid w:val="1BBB00EF"/>
    <w:rsid w:val="1BF44B8C"/>
    <w:rsid w:val="1C6B46F1"/>
    <w:rsid w:val="1DC87FB0"/>
    <w:rsid w:val="1DD21869"/>
    <w:rsid w:val="1EA21683"/>
    <w:rsid w:val="1F014800"/>
    <w:rsid w:val="1F165272"/>
    <w:rsid w:val="20A715FB"/>
    <w:rsid w:val="21315BBF"/>
    <w:rsid w:val="219D5104"/>
    <w:rsid w:val="22C61F2A"/>
    <w:rsid w:val="24167D83"/>
    <w:rsid w:val="24AB7D71"/>
    <w:rsid w:val="251973FB"/>
    <w:rsid w:val="26022F19"/>
    <w:rsid w:val="270C102B"/>
    <w:rsid w:val="27833B01"/>
    <w:rsid w:val="27887B96"/>
    <w:rsid w:val="27CC676C"/>
    <w:rsid w:val="27EA3BAD"/>
    <w:rsid w:val="289F0EC8"/>
    <w:rsid w:val="2AA30D04"/>
    <w:rsid w:val="2B191387"/>
    <w:rsid w:val="2BAD4029"/>
    <w:rsid w:val="2C820638"/>
    <w:rsid w:val="2D027C8C"/>
    <w:rsid w:val="2DC86FB6"/>
    <w:rsid w:val="2E13090C"/>
    <w:rsid w:val="2E7930BC"/>
    <w:rsid w:val="2FDE33B2"/>
    <w:rsid w:val="30365266"/>
    <w:rsid w:val="3064733E"/>
    <w:rsid w:val="310E01DC"/>
    <w:rsid w:val="311A1D81"/>
    <w:rsid w:val="31F67A45"/>
    <w:rsid w:val="330C0154"/>
    <w:rsid w:val="33462385"/>
    <w:rsid w:val="336756CF"/>
    <w:rsid w:val="33E72A5D"/>
    <w:rsid w:val="34243328"/>
    <w:rsid w:val="34267FD7"/>
    <w:rsid w:val="349173A6"/>
    <w:rsid w:val="349D4D2E"/>
    <w:rsid w:val="34FB4746"/>
    <w:rsid w:val="35217D17"/>
    <w:rsid w:val="359E0C9E"/>
    <w:rsid w:val="35E85B1D"/>
    <w:rsid w:val="38DF4634"/>
    <w:rsid w:val="39B62043"/>
    <w:rsid w:val="39F363A3"/>
    <w:rsid w:val="3A4A2305"/>
    <w:rsid w:val="3BBA7FDF"/>
    <w:rsid w:val="3C5B12B5"/>
    <w:rsid w:val="3C82758F"/>
    <w:rsid w:val="3C8F1928"/>
    <w:rsid w:val="3CEB33F1"/>
    <w:rsid w:val="3D0861FB"/>
    <w:rsid w:val="3D961DDD"/>
    <w:rsid w:val="3DB76ED3"/>
    <w:rsid w:val="3DFE2BAA"/>
    <w:rsid w:val="3E1600C3"/>
    <w:rsid w:val="3E385DB9"/>
    <w:rsid w:val="3EAE62B2"/>
    <w:rsid w:val="3ED3124A"/>
    <w:rsid w:val="3F1A044B"/>
    <w:rsid w:val="3F564120"/>
    <w:rsid w:val="41475689"/>
    <w:rsid w:val="41B140F3"/>
    <w:rsid w:val="42DE5C9D"/>
    <w:rsid w:val="42F81FC0"/>
    <w:rsid w:val="431A7534"/>
    <w:rsid w:val="432569DF"/>
    <w:rsid w:val="440D39C5"/>
    <w:rsid w:val="44691BC7"/>
    <w:rsid w:val="45AB3757"/>
    <w:rsid w:val="462223C4"/>
    <w:rsid w:val="48374852"/>
    <w:rsid w:val="48435AF5"/>
    <w:rsid w:val="490A5676"/>
    <w:rsid w:val="49C068BD"/>
    <w:rsid w:val="4A881DCD"/>
    <w:rsid w:val="4B6B72DD"/>
    <w:rsid w:val="4BD725D1"/>
    <w:rsid w:val="4D3056B4"/>
    <w:rsid w:val="4D4F5988"/>
    <w:rsid w:val="4FFD6E71"/>
    <w:rsid w:val="519B6A83"/>
    <w:rsid w:val="52F2778F"/>
    <w:rsid w:val="531E3E9B"/>
    <w:rsid w:val="531F7813"/>
    <w:rsid w:val="53D14B10"/>
    <w:rsid w:val="555C0BD0"/>
    <w:rsid w:val="56513196"/>
    <w:rsid w:val="59D81D37"/>
    <w:rsid w:val="5C5F685C"/>
    <w:rsid w:val="5CD06A84"/>
    <w:rsid w:val="5E470330"/>
    <w:rsid w:val="5E842C3D"/>
    <w:rsid w:val="5FF12574"/>
    <w:rsid w:val="60171003"/>
    <w:rsid w:val="614B6F40"/>
    <w:rsid w:val="6187730E"/>
    <w:rsid w:val="61EF489C"/>
    <w:rsid w:val="622646E4"/>
    <w:rsid w:val="62D01557"/>
    <w:rsid w:val="63502681"/>
    <w:rsid w:val="64D81005"/>
    <w:rsid w:val="64F462FB"/>
    <w:rsid w:val="65A5393D"/>
    <w:rsid w:val="65A86B9A"/>
    <w:rsid w:val="660D5F9E"/>
    <w:rsid w:val="668F4475"/>
    <w:rsid w:val="669821D0"/>
    <w:rsid w:val="673C3846"/>
    <w:rsid w:val="680E420F"/>
    <w:rsid w:val="6A585816"/>
    <w:rsid w:val="6C0F7628"/>
    <w:rsid w:val="6D8D1457"/>
    <w:rsid w:val="6DE066A6"/>
    <w:rsid w:val="6EA12C11"/>
    <w:rsid w:val="6F774430"/>
    <w:rsid w:val="6F7C0190"/>
    <w:rsid w:val="701E7160"/>
    <w:rsid w:val="716B4877"/>
    <w:rsid w:val="71C17BC1"/>
    <w:rsid w:val="71C4307B"/>
    <w:rsid w:val="732E742D"/>
    <w:rsid w:val="73365618"/>
    <w:rsid w:val="747A31B8"/>
    <w:rsid w:val="7487215A"/>
    <w:rsid w:val="756C049A"/>
    <w:rsid w:val="75FF6141"/>
    <w:rsid w:val="76FF4DF0"/>
    <w:rsid w:val="77630E58"/>
    <w:rsid w:val="77ED4609"/>
    <w:rsid w:val="78B05CDB"/>
    <w:rsid w:val="79222059"/>
    <w:rsid w:val="79A74DF9"/>
    <w:rsid w:val="79C17AB5"/>
    <w:rsid w:val="7A3A66B9"/>
    <w:rsid w:val="7C8C2E2E"/>
    <w:rsid w:val="7E242B59"/>
    <w:rsid w:val="7E900516"/>
    <w:rsid w:val="7F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ind w:left="575" w:hanging="575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="等线" w:hAnsi="等线" w:eastAsia="等线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5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2021-10-11T03:39:00Z</dcterms:created>
  <dc:creator>蒋佳佳</dc:creator>
  <cp:lastModifiedBy>白杨</cp:lastModifiedBy>
  <dcterms:modified xsi:type="dcterms:W3CDTF">2021-10-16T13:11:32Z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37AF92E80CD94104A843D44E30DE6A67</vt:lpwstr>
  </property>
</Properties>
</file>