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0" w:name="_Toc81037967"/>
      <w:r>
        <w:rPr>
          <w:rStyle w:val="14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摘要</w:t>
      </w:r>
      <w:r>
        <w:rPr>
          <w:rFonts w:hint="eastAsia"/>
          <w:color w:val="FF0000"/>
          <w:lang w:val="en-US" w:eastAsia="zh-CN"/>
        </w:rPr>
        <w:t>（研究内容、研究方法、研究结论各提供1-2句话概括，总字数100字以内）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提出监管链共识算法的设计需求，完成算法的技术实现。通过划分网络节点、构建节点评价指标体系、设计权威节点选举机制算法，实现了信用节点候选集构建和信用节点非交互式动态更新。本研究将有效支撑下一阶段PBFT算法改进、吞吐量提高、应用共识解耦等工作。</w:t>
      </w:r>
    </w:p>
    <w:p>
      <w:pPr>
        <w:rPr>
          <w:rFonts w:hint="eastAsia"/>
          <w:color w:val="FF0000"/>
          <w:lang w:val="en-US" w:eastAsia="zh-CN"/>
        </w:rPr>
      </w:pPr>
      <w:r>
        <w:rPr>
          <w:rStyle w:val="14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关键字</w:t>
      </w:r>
      <w:r>
        <w:rPr>
          <w:rFonts w:hint="eastAsia"/>
          <w:color w:val="FF0000"/>
          <w:lang w:val="en-US" w:eastAsia="zh-CN"/>
        </w:rPr>
        <w:t>（1-2个）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共识算法； 指标体系</w:t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14"/>
          <w:rFonts w:hint="eastAsia" w:ascii="黑体" w:hAnsi="黑体" w:eastAsia="黑体"/>
          <w:b w:val="0"/>
          <w:bCs/>
          <w:color w:val="auto"/>
          <w:sz w:val="32"/>
          <w:szCs w:val="32"/>
        </w:rPr>
      </w:pPr>
      <w:bookmarkStart w:id="8" w:name="_GoBack"/>
      <w:bookmarkEnd w:id="8"/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14"/>
          <w:rFonts w:ascii="黑体" w:hAnsi="黑体" w:eastAsia="黑体"/>
          <w:b w:val="0"/>
          <w:bCs/>
          <w:color w:val="auto"/>
          <w:sz w:val="32"/>
          <w:szCs w:val="32"/>
        </w:rPr>
      </w:pPr>
      <w:r>
        <w:rPr>
          <w:rStyle w:val="14"/>
          <w:rFonts w:hint="eastAsia" w:ascii="黑体" w:hAnsi="黑体" w:eastAsia="黑体"/>
          <w:b w:val="0"/>
          <w:bCs/>
          <w:color w:val="auto"/>
          <w:sz w:val="32"/>
          <w:szCs w:val="32"/>
        </w:rPr>
        <w:t>引言</w:t>
      </w:r>
      <w:bookmarkEnd w:id="0"/>
    </w:p>
    <w:p>
      <w:pPr>
        <w:spacing w:line="360" w:lineRule="auto"/>
        <w:ind w:firstLine="480" w:firstLineChars="200"/>
        <w:jc w:val="left"/>
        <w:rPr>
          <w:rStyle w:val="1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4"/>
          <w:rFonts w:hint="eastAsia" w:ascii="宋体" w:hAnsi="宋体" w:cs="宋体"/>
          <w:sz w:val="24"/>
          <w:szCs w:val="24"/>
        </w:rPr>
        <w:t>课题</w:t>
      </w:r>
      <w:r>
        <w:rPr>
          <w:rStyle w:val="14"/>
          <w:rFonts w:hint="eastAsia" w:ascii="宋体" w:hAnsi="宋体" w:cs="宋体"/>
          <w:sz w:val="24"/>
          <w:szCs w:val="24"/>
          <w:lang w:val="en-US" w:eastAsia="zh-CN"/>
        </w:rPr>
        <w:t>X</w:t>
      </w:r>
      <w:r>
        <w:rPr>
          <w:rStyle w:val="14"/>
          <w:rFonts w:hint="eastAsia" w:ascii="宋体" w:hAnsi="宋体" w:cs="宋体"/>
          <w:sz w:val="24"/>
          <w:szCs w:val="24"/>
        </w:rPr>
        <w:t>总的研究目标是。</w:t>
      </w:r>
      <w:r>
        <w:rPr>
          <w:rStyle w:val="14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4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Style w:val="14"/>
          <w:rFonts w:hint="eastAsia" w:ascii="宋体" w:hAnsi="宋体" w:cs="宋体"/>
          <w:sz w:val="24"/>
          <w:szCs w:val="24"/>
        </w:rPr>
        <w:t>本年度，课题的研究内容主要包括以下</w:t>
      </w:r>
      <w:r>
        <w:rPr>
          <w:rStyle w:val="14"/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Style w:val="14"/>
          <w:rFonts w:hint="eastAsia" w:ascii="宋体" w:hAnsi="宋体" w:cs="宋体"/>
          <w:sz w:val="24"/>
          <w:szCs w:val="24"/>
        </w:rPr>
        <w:t>个方面。</w:t>
      </w:r>
      <w:r>
        <w:rPr>
          <w:rStyle w:val="14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4"/>
          <w:rFonts w:hint="eastAsia" w:ascii="宋体" w:hAnsi="宋体" w:cs="宋体"/>
          <w:color w:val="FF0000"/>
          <w:sz w:val="24"/>
          <w:szCs w:val="24"/>
          <w:lang w:val="en-US" w:eastAsia="zh-CN"/>
        </w:rPr>
        <w:t>各任务描述各自合同规定的阶段或年度研究任务的目标、内容、方法等要点。</w:t>
      </w:r>
      <w:r>
        <w:rPr>
          <w:rStyle w:val="14"/>
          <w:rFonts w:hint="eastAsia" w:ascii="宋体" w:hAnsi="宋体" w:cs="宋体"/>
          <w:color w:val="FF0000"/>
          <w:sz w:val="24"/>
          <w:szCs w:val="24"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研究监管链共识算法的设计需求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以联盟链为基础，基于实用拜占庭容错、POA等算法，提出了满足满足监管需求的</w:t>
      </w:r>
      <w:r>
        <w:rPr>
          <w:rFonts w:hint="eastAsia"/>
          <w:lang w:val="en-US" w:eastAsia="zh-CN"/>
        </w:rPr>
        <w:t>区块链</w:t>
      </w:r>
      <w:r>
        <w:rPr>
          <w:rFonts w:hint="default"/>
          <w:lang w:val="en-US" w:eastAsia="zh-CN"/>
        </w:rPr>
        <w:t>设计，保证监管链安全可信、提升吞吐量、避免网络风暴、增强网络扩展性。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研究监管链共识算法的技术实现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以实用拜占庭容错、POA等算法为基础，通过优化事务元数据提取、并行化交易背书验证、角色权限动态调整、应用共识解耦等技术手段，</w:t>
      </w: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满足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需求的监管链原型。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完成2021年年度《技术进展报告》1篇。</w:t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14"/>
          <w:rFonts w:ascii="黑体" w:hAnsi="黑体" w:eastAsia="黑体"/>
          <w:b w:val="0"/>
          <w:sz w:val="24"/>
          <w:szCs w:val="24"/>
        </w:rPr>
      </w:pPr>
    </w:p>
    <w:p>
      <w:pPr>
        <w:rPr>
          <w:rStyle w:val="14"/>
          <w:rFonts w:hint="eastAsia" w:ascii="黑体" w:hAnsi="黑体" w:eastAsia="黑体"/>
          <w:b w:val="0"/>
          <w:sz w:val="32"/>
          <w:szCs w:val="32"/>
        </w:rPr>
      </w:pPr>
      <w:r>
        <w:rPr>
          <w:rStyle w:val="14"/>
          <w:rFonts w:hint="eastAsia" w:ascii="黑体" w:hAnsi="黑体" w:eastAsia="黑体"/>
          <w:b w:val="0"/>
          <w:sz w:val="32"/>
          <w:szCs w:val="32"/>
        </w:rPr>
        <w:br w:type="page"/>
      </w:r>
    </w:p>
    <w:p>
      <w:pPr>
        <w:pStyle w:val="2"/>
        <w:rPr>
          <w:rStyle w:val="14"/>
          <w:rFonts w:ascii="宋体" w:hAnsi="宋体"/>
          <w:b w:val="0"/>
          <w:sz w:val="32"/>
          <w:szCs w:val="32"/>
        </w:rPr>
      </w:pPr>
      <w:bookmarkStart w:id="1" w:name="_Toc81037968"/>
      <w:r>
        <w:rPr>
          <w:rStyle w:val="14"/>
          <w:rFonts w:hint="eastAsia" w:ascii="黑体" w:hAnsi="黑体" w:eastAsia="黑体"/>
          <w:b w:val="0"/>
          <w:bCs/>
          <w:color w:val="auto"/>
          <w:sz w:val="32"/>
          <w:szCs w:val="32"/>
        </w:rPr>
        <w:t>研究概述</w:t>
      </w:r>
      <w:bookmarkEnd w:id="1"/>
    </w:p>
    <w:p>
      <w:pPr>
        <w:pStyle w:val="3"/>
        <w:numPr>
          <w:ilvl w:val="1"/>
          <w:numId w:val="2"/>
        </w:numPr>
        <w:adjustRightInd w:val="0"/>
        <w:snapToGrid w:val="0"/>
        <w:spacing w:before="163" w:beforeLines="50" w:after="163" w:afterLines="50" w:line="360" w:lineRule="auto"/>
        <w:rPr>
          <w:rStyle w:val="14"/>
          <w:rFonts w:ascii="宋体" w:hAnsi="宋体"/>
          <w:bCs/>
          <w:sz w:val="28"/>
          <w:szCs w:val="28"/>
        </w:rPr>
      </w:pPr>
      <w:bookmarkStart w:id="2" w:name="_Toc81037969"/>
      <w:r>
        <w:rPr>
          <w:rStyle w:val="14"/>
          <w:rFonts w:hint="eastAsia" w:ascii="宋体" w:hAnsi="宋体"/>
          <w:bCs/>
          <w:sz w:val="28"/>
          <w:szCs w:val="28"/>
        </w:rPr>
        <w:t>研究背景及意义</w:t>
      </w:r>
      <w:bookmarkEnd w:id="2"/>
      <w:r>
        <w:rPr>
          <w:rStyle w:val="14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4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  <w:rPr>
          <w:rStyle w:val="14"/>
          <w:rFonts w:ascii="宋体" w:hAnsi="宋体" w:cs="宋体"/>
          <w:sz w:val="24"/>
          <w:szCs w:val="24"/>
        </w:rPr>
      </w:pPr>
      <w:r>
        <w:rPr>
          <w:rStyle w:val="14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4"/>
          <w:rFonts w:ascii="宋体" w:hAnsi="宋体"/>
          <w:bCs/>
          <w:sz w:val="28"/>
          <w:szCs w:val="28"/>
        </w:rPr>
      </w:pPr>
      <w:bookmarkStart w:id="3" w:name="_Toc81037970"/>
      <w:r>
        <w:rPr>
          <w:rStyle w:val="14"/>
          <w:rFonts w:hint="eastAsia" w:ascii="宋体" w:hAnsi="宋体"/>
          <w:bCs/>
          <w:sz w:val="28"/>
          <w:szCs w:val="28"/>
        </w:rPr>
        <w:t>课题</w:t>
      </w:r>
      <w:r>
        <w:rPr>
          <w:rStyle w:val="14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14"/>
          <w:rFonts w:hint="eastAsia" w:ascii="宋体" w:hAnsi="宋体"/>
          <w:bCs/>
          <w:sz w:val="28"/>
          <w:szCs w:val="28"/>
        </w:rPr>
        <w:t>与其它课题的关系</w:t>
      </w:r>
      <w:bookmarkEnd w:id="3"/>
      <w:r>
        <w:rPr>
          <w:rStyle w:val="14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4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</w:pPr>
      <w:r>
        <w:rPr>
          <w:rStyle w:val="14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4"/>
          <w:rFonts w:ascii="宋体" w:hAnsi="宋体"/>
          <w:bCs/>
          <w:sz w:val="28"/>
          <w:szCs w:val="28"/>
        </w:rPr>
      </w:pPr>
      <w:bookmarkStart w:id="4" w:name="_Toc81037971"/>
      <w:bookmarkStart w:id="5" w:name="OLE_LINK1"/>
      <w:r>
        <w:rPr>
          <w:rStyle w:val="14"/>
          <w:rFonts w:hint="eastAsia" w:ascii="宋体" w:hAnsi="宋体"/>
          <w:bCs/>
          <w:sz w:val="28"/>
          <w:szCs w:val="28"/>
        </w:rPr>
        <w:t>课题</w:t>
      </w:r>
      <w:r>
        <w:rPr>
          <w:rStyle w:val="14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14"/>
          <w:rFonts w:hint="eastAsia" w:ascii="宋体" w:hAnsi="宋体"/>
          <w:bCs/>
          <w:sz w:val="28"/>
          <w:szCs w:val="28"/>
        </w:rPr>
        <w:t>研究内容</w:t>
      </w:r>
      <w:bookmarkEnd w:id="4"/>
    </w:p>
    <w:bookmarkEnd w:id="5"/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拟解决的关键科学与技术问题</w:t>
      </w:r>
      <w:r>
        <w:rPr>
          <w:rStyle w:val="14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（各写1-2个）</w:t>
      </w:r>
    </w:p>
    <w:p>
      <w:pPr>
        <w:bidi w:val="0"/>
        <w:ind w:firstLine="420" w:firstLineChars="0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设计满足监管需求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安全可信、吞吐量高、易扩展的监管链；并</w:t>
      </w:r>
      <w:r>
        <w:rPr>
          <w:rFonts w:hint="default"/>
          <w:lang w:val="en-US" w:eastAsia="zh-CN"/>
        </w:rPr>
        <w:t>以实用拜占庭容错、POA等算法为基础，通过优化事务元数据提取、并行化交易背书验证、角色权限动态调整、应用共识解耦等技术手段，</w:t>
      </w: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满足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需求的监管链原型。</w:t>
      </w:r>
    </w:p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拟开展的主要研究内容</w:t>
      </w:r>
      <w:r>
        <w:rPr>
          <w:rStyle w:val="14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（任务研究内容）（一段话）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联盟链环境下的新型共识算法，设计基于实用拜占庭容错（PBFT）等基础算法的快速共识方法，探索交易元数据提取与优化、交易背书与验证并行化、节点角色动态调整、节点信用分级与排序等机制，解决固定功能节点易遭攻击、大规模交易高并发造成的网络风暴等问题，提高监管链的安全性与效率。</w:t>
      </w:r>
    </w:p>
    <w:p/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bookmarkStart w:id="6" w:name="_Toc81037972"/>
      <w:r>
        <w:rPr>
          <w:rStyle w:val="14"/>
          <w:rFonts w:hint="eastAsia" w:ascii="宋体" w:hAnsi="宋体"/>
          <w:bCs/>
          <w:sz w:val="28"/>
          <w:szCs w:val="28"/>
        </w:rPr>
        <w:t>研究技术路线</w:t>
      </w:r>
      <w:bookmarkEnd w:id="6"/>
      <w:r>
        <w:rPr>
          <w:rStyle w:val="14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（任务技术路线）（文字+至少1张图）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的新型共识机制拟采用联盟链的拜占庭容错算法为基础架构，拟通过抽取交易的基础元数据重建交易的排序流程，并优化验证协议以充分实现背书策略验证等操作的并行化，大幅提高系统的吞吐率；拟构建节点候选集，利用可验证随机函数等密码学技术设计非交互式选举协议，实现背书节点等重要角色的动态更新，并引入信用模型对节点进行分级排序，实现应用层的信任机制同底层共识协议的解耦，提高系统的安全性与可扩展性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1.1，本研究基于基础区块链数据结构和密码学原理，扩展了区块的数据结构，满足监管链共识算法数据层要求。根据节点类型设计整体分层网络，局部扁平P2P网络，分层结构实现网络低成本扩容与演进。共识算法包括优化验证流程和评价指标体系两部分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验证流程改进事务元数据，重构事务排序，并利用事务数据缓存和并行验证的方法提升网络吞吐量。评价指标体系根据节点功能划分节点类型，建立节点演进模型，支撑建立节点信用评价。量化信用节点关键指标，基于演进模型、网络性能、安全需求、扩展能力，设计信用节点评价算法，以非交互、无感知、平滑地方式实现节点动态更新。</w:t>
      </w:r>
    </w:p>
    <w:p>
      <w:pPr>
        <w:ind w:firstLine="480" w:firstLineChars="200"/>
        <w:rPr>
          <w:rFonts w:hint="eastAsia" w:ascii="宋体" w:hAnsi="宋体"/>
          <w:sz w:val="24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208145" cy="4319905"/>
            <wp:effectExtent l="0" t="0" r="190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55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图1.1 监管链共识算法技术路线图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br w:type="page"/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14"/>
          <w:rFonts w:hint="default" w:ascii="黑体" w:hAnsi="黑体" w:eastAsia="黑体"/>
          <w:b w:val="0"/>
          <w:sz w:val="24"/>
          <w:szCs w:val="24"/>
          <w:lang w:val="en-US" w:eastAsia="zh-CN"/>
        </w:rPr>
      </w:pPr>
      <w:bookmarkStart w:id="7" w:name="_Toc81037978"/>
      <w:r>
        <w:rPr>
          <w:rStyle w:val="14"/>
          <w:rFonts w:hint="eastAsia" w:ascii="黑体" w:hAnsi="黑体" w:eastAsia="黑体"/>
          <w:b w:val="0"/>
          <w:color w:val="FF0000"/>
          <w:sz w:val="24"/>
          <w:szCs w:val="24"/>
          <w:lang w:val="en-US" w:eastAsia="zh-CN"/>
        </w:rPr>
        <w:t>（各任务阐述</w:t>
      </w:r>
      <w:r>
        <w:rPr>
          <w:rStyle w:val="14"/>
          <w:rFonts w:hint="eastAsia" w:ascii="黑体" w:hAnsi="黑体" w:eastAsia="黑体"/>
          <w:b/>
          <w:bCs/>
          <w:color w:val="FF0000"/>
          <w:sz w:val="24"/>
          <w:szCs w:val="24"/>
          <w:lang w:val="en-US" w:eastAsia="zh-CN"/>
        </w:rPr>
        <w:t>阶段研究的过程、技术内容、进展或阶段成果，提供必要的数据图表）</w:t>
      </w:r>
    </w:p>
    <w:p>
      <w:pPr>
        <w:pStyle w:val="2"/>
        <w:adjustRightInd w:val="0"/>
        <w:snapToGrid w:val="0"/>
        <w:spacing w:before="100" w:after="100" w:line="360" w:lineRule="auto"/>
        <w:rPr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 w:ascii="黑体" w:hAnsi="黑体" w:eastAsia="黑体"/>
          <w:b w:val="0"/>
          <w:sz w:val="32"/>
          <w:szCs w:val="32"/>
        </w:rPr>
        <w:t xml:space="preserve"> </w:t>
      </w:r>
      <w:r>
        <w:rPr>
          <w:rStyle w:val="14"/>
          <w:rFonts w:hint="eastAsia" w:ascii="黑体" w:hAnsi="黑体" w:eastAsia="黑体"/>
          <w:b w:val="0"/>
          <w:sz w:val="32"/>
          <w:szCs w:val="32"/>
          <w:lang w:val="en-US" w:eastAsia="zh-CN"/>
        </w:rPr>
        <w:t>“</w:t>
      </w:r>
      <w:r>
        <w:rPr>
          <w:rStyle w:val="14"/>
          <w:rFonts w:hint="eastAsia" w:ascii="黑体" w:hAnsi="黑体" w:eastAsia="黑体"/>
          <w:b w:val="0"/>
          <w:sz w:val="32"/>
          <w:szCs w:val="32"/>
          <w:lang w:val="en-US" w:eastAsia="zh-CN"/>
        </w:rPr>
        <w:t>以链治链”架构下的监管链共识算法</w:t>
      </w:r>
      <w:r>
        <w:rPr>
          <w:rStyle w:val="14"/>
          <w:rFonts w:hint="eastAsia" w:ascii="黑体" w:hAnsi="黑体" w:eastAsia="黑体"/>
          <w:b w:val="0"/>
          <w:color w:val="FF0000"/>
          <w:sz w:val="32"/>
          <w:szCs w:val="32"/>
          <w:lang w:eastAsia="zh-CN"/>
        </w:rPr>
        <w:t>（</w:t>
      </w:r>
      <w:r>
        <w:rPr>
          <w:rStyle w:val="14"/>
          <w:rFonts w:hint="eastAsia" w:ascii="黑体" w:hAnsi="黑体" w:eastAsia="黑体"/>
          <w:b w:val="0"/>
          <w:color w:val="FF0000"/>
          <w:sz w:val="32"/>
          <w:szCs w:val="32"/>
          <w:lang w:val="en-US" w:eastAsia="zh-CN"/>
        </w:rPr>
        <w:t>各任务名字）</w:t>
      </w:r>
      <w:bookmarkEnd w:id="7"/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4"/>
          <w:rFonts w:ascii="宋体" w:hAnsi="宋体"/>
          <w:sz w:val="28"/>
          <w:szCs w:val="28"/>
        </w:rPr>
      </w:pPr>
      <w:r>
        <w:rPr>
          <w:rStyle w:val="14"/>
          <w:rFonts w:hint="eastAsia" w:ascii="宋体" w:hAnsi="宋体"/>
          <w:sz w:val="28"/>
          <w:szCs w:val="28"/>
          <w:lang w:val="en-US" w:eastAsia="zh-CN"/>
        </w:rPr>
        <w:t>阶段性研究内容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研究监管链共识算法的设计需求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以联盟链为基础，基于实用拜占庭容错、POA等算法，提出了满足满足监管需求的</w:t>
      </w:r>
      <w:r>
        <w:rPr>
          <w:rFonts w:hint="eastAsia"/>
          <w:lang w:val="en-US" w:eastAsia="zh-CN"/>
        </w:rPr>
        <w:t>区块链</w:t>
      </w:r>
      <w:r>
        <w:rPr>
          <w:rFonts w:hint="default"/>
          <w:lang w:val="en-US" w:eastAsia="zh-CN"/>
        </w:rPr>
        <w:t>设计，保证监管链安全可信、提升吞吐量、避免网络风暴、增强网络扩展性。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研究监管链共识算法的技术实现</w:t>
      </w:r>
      <w:r>
        <w:rPr>
          <w:rFonts w:hint="eastAsia"/>
          <w:lang w:val="en-US" w:eastAsia="zh-CN"/>
        </w:rPr>
        <w:t>：设计满足监管链需求的区块结构，支撑监管链共识算法实现。设计监管链共识算法，利用事务数据缓存和并行验证的方法提升网络吞吐量。构建信用节点评价指标体系，实现节点非交互式动态更新。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4"/>
          <w:rFonts w:ascii="宋体" w:hAnsi="宋体"/>
          <w:bCs/>
          <w:sz w:val="28"/>
          <w:szCs w:val="28"/>
        </w:rPr>
      </w:pPr>
      <w:r>
        <w:rPr>
          <w:rStyle w:val="14"/>
          <w:rFonts w:hint="eastAsia" w:ascii="宋体" w:hAnsi="宋体"/>
          <w:bCs/>
          <w:sz w:val="28"/>
          <w:szCs w:val="28"/>
          <w:lang w:val="en-US" w:eastAsia="zh-CN"/>
        </w:rPr>
        <w:t>研究技术路线（技术实现方法）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监管链区块设计：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本研究扩展了区块链基本块结构，提出了监管区块结构的设计。设计思路如图2.1所示，本研究扩展了区块的事务消息内容，包括基本的操作信息Base Info、节点的状态信息Sys.Node Info和控制信息Control Info。节点信息用于维护信用节点评价指标体系，实现监督链节点相关数值的量化监控和评价，通过评价算法筛选合适节点构建节点候选集，实现节点的非交互、无感知、平滑地动态更新。控制信息包括授权信息和审计信息，用于监管链的扩容，提高系统吞吐量。</w:t>
      </w:r>
    </w:p>
    <w:p>
      <w:pPr>
        <w:jc w:val="center"/>
      </w:pPr>
      <w:r>
        <w:drawing>
          <wp:inline distT="0" distB="0" distL="114300" distR="114300">
            <wp:extent cx="3663950" cy="21602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图2.1 监管链区块结构基本设计思路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信用节点评价：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联盟链为基础的监管链摒弃了公共链通过PoW缓解拜占庭错误的方案，强化了权威节点的作用和能力。联盟链的权威节点通过了合法验证，降低作恶风险。本研究提出了信用节点评价指标，包括节点稳定度、节点联通度、数据合法性和哈希率。这四个指标综合反映了一个节点在审计链中的安全性、可靠性、稳定性和可用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信用节点分类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审计链的节点逻辑上分为三类：客户节点、中间节点和权威节点。通过强化权威节点保证审计链的工作效率，但权威节点并非一成不变。通过信用节点评价指标体系，对三类节点进行度量和评价。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节点动态更新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2.2信用节点分类与状态迁移，新加入的节点被认为是恶意节点，只有被评价指标体系认可的节点才能称为合法的节点，而且三种节点的身份可以相互转化。三种节点在功能上有重叠，权威节点拥有客户节点和中间节点所有的能力，中间节点具备客户节点的所有能力。</w:t>
      </w:r>
    </w:p>
    <w:p>
      <w:pPr>
        <w:jc w:val="center"/>
      </w:pPr>
      <w:r>
        <w:drawing>
          <wp:inline distT="0" distB="0" distL="114300" distR="114300">
            <wp:extent cx="5273675" cy="145351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图2.2 信用节点分类与状态迁移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非交互式选举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通过非交互式选举方式实现权威节点的动态更新。通过2.2.2信用节点评价体系，构造权威节点候选集，并持续动态更新该集合。根据监管链的需要，权威节点通过候选集实时更新。被淘汰的节点失去权威节点身份，由候选集补充。权威节点之间通过内部协议达成快速共识。每次补充的权威节点在本次共识结束后加入网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权威节点的选择通过2.3成果展示的信用节点评价指标体系通过全网选举产生，选举活动和节点更新动作是异步的，不会造成阻塞，因此更新将非交互、无感知、平滑的完成。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网络扁平设计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管链的三种节点组成立体扁平P2P网络结构。根据节点类型设计整体分层网络，局部扁平P2P网络，分层结构实现网络低成本扩容与演进。如图2.3所示，低层级节点向高层级节点汇聚，节点之间组成P2P的扁平拓扑结构。不同层级的组网自下而上，组成立体网络，并保持去中心化结构。</w:t>
      </w:r>
    </w:p>
    <w:p>
      <w:pPr>
        <w:jc w:val="center"/>
      </w:pPr>
      <w:r>
        <w:drawing>
          <wp:inline distT="0" distB="0" distL="114300" distR="114300">
            <wp:extent cx="5269230" cy="235267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图2.3 监管链分层扁平网络结构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4"/>
          <w:rFonts w:ascii="宋体" w:hAnsi="宋体"/>
          <w:bCs/>
          <w:sz w:val="28"/>
          <w:szCs w:val="28"/>
        </w:rPr>
      </w:pPr>
      <w:r>
        <w:rPr>
          <w:rStyle w:val="14"/>
          <w:rFonts w:hint="eastAsia" w:ascii="宋体" w:hAnsi="宋体"/>
          <w:bCs/>
          <w:sz w:val="28"/>
          <w:szCs w:val="28"/>
          <w:lang w:val="en-US" w:eastAsia="zh-CN"/>
        </w:rPr>
        <w:t>进展或阶段性成果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扩展了区块链基本块结构，提出了监管区块的设计。将监督链节点划分为客户节点、中间节点、权威节点三种类型。提取三种节点的共性指标，对其量化描述，依据信用节点评价指标体系构建节点演进算法从而构建候选集。依赖候选集通过非交互式地进行节点的动态更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信用节点评价指标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在2.2.3中将节点分为三类。权威</w:t>
      </w:r>
      <w:r>
        <w:rPr>
          <w:rFonts w:hint="eastAsia"/>
          <w:lang w:val="en-US" w:eastAsia="zh-Hans"/>
        </w:rPr>
        <w:t>节点是可信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稳定的</w:t>
      </w:r>
      <w:r>
        <w:rPr>
          <w:rFonts w:hint="eastAsia"/>
          <w:lang w:val="en-US" w:eastAsia="zh-CN"/>
        </w:rPr>
        <w:t>，同时应当具备一定算力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我们提出了多项指标评估一个节点是否具备能力担任</w:t>
      </w:r>
      <w:r>
        <w:rPr>
          <w:rFonts w:hint="eastAsia"/>
          <w:lang w:val="en-US" w:eastAsia="zh-CN"/>
        </w:rPr>
        <w:t>权威</w:t>
      </w:r>
      <w:r>
        <w:rPr>
          <w:rFonts w:hint="eastAsia"/>
          <w:lang w:val="en-US" w:eastAsia="zh-Hans"/>
        </w:rPr>
        <w:t>节点</w:t>
      </w:r>
      <w:r>
        <w:rPr>
          <w:rFonts w:hint="eastAsia"/>
          <w:lang w:val="en-US" w:eastAsia="zh-CN"/>
        </w:rPr>
        <w:t>角色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我们从节点的在线时长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联通度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误码率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算力等方面考量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Stability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Value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SV</w:t>
      </w:r>
      <w:r>
        <w:rPr>
          <w:rFonts w:hint="default"/>
          <w:b/>
          <w:bCs/>
          <w:lang w:eastAsia="zh-Hans"/>
        </w:rPr>
        <w:t>)：</w:t>
      </w:r>
      <w:r>
        <w:rPr>
          <w:rFonts w:hint="eastAsia"/>
          <w:lang w:val="en-US" w:eastAsia="zh-Hans"/>
        </w:rPr>
        <w:t>稳定度反映了一个节点在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中的稳定在线时长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只有SV超过预设特定阈值的节点才有资格成为核心节点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所有节点组成的网络拓扑结构是动态变化的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有的节点稳定在线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有的节点频繁的上线和下线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我们假设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核心节点在一个时间片段t内数量是固定的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a代表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平均核心节点算力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n代表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核心节点数量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当前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的总算力s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算力s刚好满足当前网络处理数据的要求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但是比例m的节点在线时间不稳定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为了保证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的业务处理最低能力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只能保守地把全网算力降为s</w:t>
      </w:r>
      <w:r>
        <w:rPr>
          <w:rFonts w:hint="default"/>
          <w:lang w:eastAsia="zh-Hans"/>
        </w:rPr>
        <w:t xml:space="preserve"> = (1-m)·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对应的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需要降低区块的目标难度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显然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的整体算力变化应该处于一个合理的区间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中提供算力的节点就需要稳定在线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一个刚加入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的节点n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在时间片段t内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在线时长t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离线时长t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离线次数Toff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要求在线时长td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SV</m:t>
              </m: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0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&lt;t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i = 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off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nary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+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 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off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d>
        </m:oMath>
      </m:oMathPara>
    </w:p>
    <w:p>
      <w:pPr>
        <w:ind w:firstLine="420" w:firstLineChars="0"/>
        <w:rPr>
          <w:rFonts w:hint="default" w:ascii="Calibri Bold" w:hAnsi="Calibri Bold" w:cs="Calibri Bold"/>
          <w:b w:val="0"/>
          <w:bCs w:val="0"/>
          <w:lang w:eastAsia="zh-Hans"/>
        </w:rPr>
      </w:pPr>
      <w:r>
        <w:rPr>
          <w:rFonts w:hint="default" w:ascii="Calibri Bold" w:hAnsi="Calibri Bold" w:cs="Calibri Bold"/>
          <w:b/>
          <w:bCs/>
          <w:lang w:val="en-US" w:eastAsia="zh-Hans"/>
        </w:rPr>
        <w:t>Degree</w:t>
      </w:r>
      <w:r>
        <w:rPr>
          <w:rFonts w:hint="default" w:ascii="Calibri Bold" w:hAnsi="Calibri Bold" w:cs="Calibri Bold"/>
          <w:b/>
          <w:bCs/>
          <w:lang w:eastAsia="zh-Hans"/>
        </w:rPr>
        <w:t xml:space="preserve"> </w:t>
      </w:r>
      <w:r>
        <w:rPr>
          <w:rFonts w:hint="default" w:ascii="Calibri Bold" w:hAnsi="Calibri Bold" w:cs="Calibri Bold"/>
          <w:b/>
          <w:bCs/>
          <w:lang w:val="en-US" w:eastAsia="zh-Hans"/>
        </w:rPr>
        <w:t>Value</w:t>
      </w:r>
      <w:r>
        <w:rPr>
          <w:rFonts w:hint="default" w:ascii="Calibri Bold" w:hAnsi="Calibri Bold" w:cs="Calibri Bold"/>
          <w:b/>
          <w:bCs/>
          <w:lang w:eastAsia="zh-Hans"/>
        </w:rPr>
        <w:t>(DV)：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节点度是指和该节点相关联的边的条数，又称关联度。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鼓励节点与更多的节点通信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避免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出现割边或割点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的平均DV提高后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一方面提高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的稳定性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另一方面减少矿池的出现和私自挖矿等攻击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因此节点的DV越高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越可信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低DV的节点被认为是孤立的节点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</w:p>
    <w:p>
      <w:pPr>
        <w:ind w:firstLine="420" w:firstLineChars="0"/>
        <w:rPr>
          <w:rFonts w:hint="eastAsia" w:ascii="Calibri Bold" w:hAnsi="Calibri Bold" w:cs="Calibri Bold"/>
          <w:b w:val="0"/>
          <w:bCs w:val="0"/>
          <w:lang w:val="en-US" w:eastAsia="zh-Hans"/>
        </w:rPr>
      </w:pPr>
      <w:r>
        <w:rPr>
          <w:rFonts w:hint="eastAsia" w:ascii="Calibri Bold" w:hAnsi="Calibri Bold" w:cs="Calibri Bold"/>
          <w:b w:val="0"/>
          <w:bCs w:val="0"/>
          <w:lang w:val="en-US" w:eastAsia="zh-Hans"/>
        </w:rPr>
        <w:t>我们假设节点n在时间片段t内与m个节点通信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那么节点n的DV为</w:t>
      </w:r>
    </w:p>
    <w:p>
      <w:pPr>
        <w:ind w:firstLine="420" w:firstLineChars="0"/>
        <w:jc w:val="center"/>
        <w:rPr>
          <w:rFonts w:ascii="Cambria Math" w:hAnsi="Cambria Math" w:cs="Calibri Bold"/>
          <w:bCs w:val="0"/>
          <w:i w:val="0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>=m</m:t>
          </m:r>
        </m:oMath>
      </m:oMathPara>
    </w:p>
    <w:p>
      <w:pPr>
        <w:ind w:firstLine="420" w:firstLineChars="0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Hans"/>
        </w:rPr>
        <w:t>假设若干个节点之间相互通信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组成矿池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认为这几个节点也是逐渐变为孤立点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其DV值逐渐弱化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设定衰减系数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α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新增节点m个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DV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n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hint="eastAsia" w:ascii="Cambria Math" w:hAnsi="Cambria Math" w:cs="Calibri Bold"/>
          <w:bCs w:val="0"/>
          <w:i w:val="0"/>
          <w:lang w:val="en-US" w:eastAsia="zh-Hans"/>
        </w:rPr>
        <w:t>表示为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>=m+α·</m:t>
          </m:r>
          <m:sSubSup>
            <m:sSubSupP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mbria Math" w:hAnsi="Cambria Math" w:cs="Calibri Bold"/>
          <w:b w:val="0"/>
          <w:bCs w:val="0"/>
          <w:i w:val="0"/>
          <w:lang w:eastAsia="zh-Hans"/>
        </w:rPr>
      </w:pPr>
      <w:r>
        <w:rPr>
          <w:rFonts w:hint="default" w:ascii="Calibri Bold" w:hAnsi="Calibri Bold" w:cs="Calibri Bold"/>
          <w:b/>
          <w:bCs/>
          <w:lang w:eastAsia="zh-CN"/>
        </w:rPr>
        <w:t>V</w:t>
      </w:r>
      <w:r>
        <w:rPr>
          <w:rFonts w:hint="eastAsia" w:ascii="Calibri Bold" w:hAnsi="Calibri Bold" w:cs="Calibri Bold"/>
          <w:b/>
          <w:bCs/>
          <w:lang w:val="en-US" w:eastAsia="zh-CN"/>
        </w:rPr>
        <w:t>alidity</w:t>
      </w:r>
      <w:r>
        <w:rPr>
          <w:rFonts w:hint="default" w:ascii="Calibri Bold" w:hAnsi="Calibri Bold" w:cs="Calibri Bold"/>
          <w:b/>
          <w:bCs/>
          <w:lang w:eastAsia="zh-CN"/>
        </w:rPr>
        <w:t xml:space="preserve"> Value(VV):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数据有效性主要衡量两个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指标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一方面是</w:t>
      </w:r>
      <w:r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  <w:t>衡量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节点</w:t>
      </w:r>
      <w:r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  <w:t>在规定时间内数据传输精确性。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另一方面衡量节点在规定时间内数据的有效性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精确性体现在一个节点如果转发和确认的数据与原数据有差异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可以认为数据被修改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有效性体现在一个节点如果转发和确认的数据已经存在于区块链上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可以认为数据是无效的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VV保证了数据的正确性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避免数据被窜改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VV也避免了数据重复被确认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造成网络资源的浪费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我们假设节点n在时间片段t内的接受到数据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R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转发正确数据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 xml:space="preserve"> S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打包数据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P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确认有效数据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L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的合法性最小值是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β，有效性最小是是γ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VV的计算如下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="Cambria Math" w:hAnsi="Cambria Math" w:cs="Calibri Bold"/>
          <w:bCs w:val="0"/>
          <w:i w:val="0"/>
          <w:lang w:val="en-US" w:eastAsia="zh-Han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VV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0 </m:t>
                  </m:r>
                  <m:d>
                    <m:dPr>
                      <m:ctrlPr>
                        <w:rPr>
                          <w:rFonts w:ascii="Cambria Math" w:hAnsi="Cambria Math" w:cs="Calibri Bold"/>
                          <w:bCs w:val="0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 xml:space="preserve"> S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libri Bold"/>
                          <w:lang w:val="en-US"/>
                        </w:rPr>
                        <m:t>&lt;β,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libri Bold"/>
                          <w:lang w:val="en-US"/>
                        </w:rPr>
                        <m:t>&lt;γ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 S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</m:d>
        </m:oMath>
      </m:oMathPara>
    </w:p>
    <w:p>
      <w:pPr>
        <w:bidi w:val="0"/>
        <w:ind w:firstLine="420" w:firstLineChars="0"/>
        <w:rPr>
          <w:rFonts w:hint="eastAsia" w:ascii="Calibri Bold" w:hAnsi="Calibri Bold" w:cs="Calibri Bold"/>
          <w:b w:val="0"/>
          <w:bCs w:val="0"/>
          <w:lang w:val="en-US" w:eastAsia="zh-Hans"/>
        </w:rPr>
      </w:pPr>
      <w:r>
        <w:rPr>
          <w:rFonts w:hint="eastAsia" w:ascii="Calibri Bold" w:hAnsi="Calibri Bold" w:cs="Calibri Bold"/>
          <w:b/>
          <w:bCs/>
          <w:lang w:val="en-US" w:eastAsia="zh-Hans"/>
        </w:rPr>
        <w:t>Computational</w:t>
      </w:r>
      <w:r>
        <w:rPr>
          <w:rFonts w:hint="default" w:ascii="Calibri Bold" w:hAnsi="Calibri Bold" w:cs="Calibri Bold"/>
          <w:b/>
          <w:bCs/>
          <w:lang w:eastAsia="zh-Hans"/>
        </w:rPr>
        <w:t xml:space="preserve"> </w:t>
      </w:r>
      <w:r>
        <w:rPr>
          <w:rFonts w:hint="eastAsia" w:ascii="Calibri Bold" w:hAnsi="Calibri Bold" w:cs="Calibri Bold"/>
          <w:b/>
          <w:bCs/>
          <w:lang w:val="en-US" w:eastAsia="zh-Hans"/>
        </w:rPr>
        <w:t>Power</w:t>
      </w:r>
      <w:r>
        <w:rPr>
          <w:rFonts w:hint="default" w:ascii="Calibri Bold" w:hAnsi="Calibri Bold" w:cs="Calibri Bold"/>
          <w:b/>
          <w:bCs/>
          <w:lang w:eastAsia="zh-Hans"/>
        </w:rPr>
        <w:t>(CP):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算力（也称哈希率）是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处理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数据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能力的度量单位。即为计算机（CPU）计算哈希函数输出的速度。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必须为了安全目的而进行密集的数学和加密相关操作。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在某一时间段t内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处理段数据量是一定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的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在t内处理这些数据需要算力m</w:t>
      </w:r>
      <w:r>
        <w:rPr>
          <w:rFonts w:hint="default" w:ascii="Calibri Bold" w:hAnsi="Calibri Bold" w:cs="Calibri Bold"/>
          <w:b w:val="0"/>
          <w:bCs w:val="0"/>
          <w:lang w:eastAsia="zh-Hans"/>
        </w:rPr>
        <w:t xml:space="preserve"> 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hash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/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s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全网符合要求的核心节点数量为n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则单节点的算力为</w:t>
      </w:r>
    </w:p>
    <w:p>
      <w:pPr>
        <w:bidi w:val="0"/>
        <w:jc w:val="center"/>
        <w:rPr>
          <w:rFonts w:ascii="Cambria Math" w:hAnsi="Cambria Math" w:cs="Calibri Bold"/>
          <w:bCs w:val="0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 xml:space="preserve">n 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Calibri Bold"/>
                  <w:lang w:val="en-US"/>
                </w:rPr>
                <m:t>m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den>
          </m:f>
        </m:oMath>
      </m:oMathPara>
    </w:p>
    <w:p>
      <w:pPr>
        <w:bidi w:val="0"/>
        <w:ind w:firstLine="420" w:firstLineChars="0"/>
        <w:jc w:val="both"/>
        <w:rPr>
          <w:rFonts w:hint="eastAsia" w:ascii="Cambria Math" w:hAnsi="Cambria Math" w:cs="Calibri Bold"/>
          <w:bCs w:val="0"/>
          <w:i w:val="0"/>
          <w:lang w:val="en-US"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的数据处理能力需要不断提升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所以核心节点的数量和核心节点的算力也要提升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算力可以作为限制条件排除一些低算力的节点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算力也可以作为竞争指标增强节点的可信度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如果存在一个节点x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其算力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 xml:space="preserve">x 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平均算力为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a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  <m:r>
          <m:rPr/>
          <w:rPr>
            <w:rFonts w:ascii="Cambria Math" w:hAnsi="Cambria Math" w:cs="Calibri Bold"/>
            <w:lang w:val="en-US"/>
          </w:rPr>
          <m:t xml:space="preserve"> 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且有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bidi w:val="0"/>
        <w:ind w:firstLine="420" w:firstLineChars="0"/>
        <w:jc w:val="center"/>
        <w:rPr>
          <w:rFonts w:ascii="Cambria Math" w:hAnsi="Cambria Math" w:cs="Calibri Bold"/>
          <w:bCs w:val="0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 xml:space="preserve">x 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≫ </m:t>
          </m:r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a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</m:oMath>
      </m:oMathPara>
    </w:p>
    <w:p>
      <w:pPr>
        <w:bidi w:val="0"/>
        <w:ind w:firstLine="420" w:firstLineChars="0"/>
        <w:jc w:val="both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Hans"/>
        </w:rPr>
        <w:t>节点x将在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中占据主导地位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因此我们限制节点的算力不可无限膨胀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规定底数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δ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以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δ</m:t>
        </m:r>
      </m:oMath>
      <w:r>
        <w:rPr>
          <w:rFonts w:hint="eastAsia" w:ascii="Cambria Math" w:hAnsi="Cambria Math" w:cs="Calibri Bold"/>
          <w:b w:val="0"/>
          <w:i w:val="0"/>
          <w:lang w:val="en-US" w:eastAsia="zh-Hans"/>
        </w:rPr>
        <w:t>为底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 xml:space="preserve">x 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的对数作为算力度量值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在鼓励节点增加算力的同时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限制节点进行算力攻击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如下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bidi w:val="0"/>
        <w:ind w:firstLine="420" w:firstLineChars="0"/>
        <w:jc w:val="center"/>
        <w:rPr>
          <w:rFonts w:hAnsi="Cambria Math" w:cs="Calibri Bold"/>
          <w:bCs w:val="0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Bold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CP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 = </m:t>
                  </m:r>
                  <m:func>
                    <m:func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Bold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x 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libri Bold"/>
                    </w:rPr>
                    <m:t>δ=</m:t>
                  </m:r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m −</m:t>
                      </m:r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x 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n −1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>
              </m:eqArr>
              <m:ctrlPr>
                <w:rPr>
                  <w:rFonts w:ascii="Cambria Math" w:hAnsi="Cambria Math" w:cs="Calibri Bold"/>
                  <w:bCs w:val="0"/>
                  <w:i/>
                </w:rPr>
              </m:ctrlPr>
            </m:e>
          </m:d>
        </m:oMath>
      </m:oMathPara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多维权威节点选举机制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我们提出了多维度指标描述节点的各项性能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这些指标综合体现一个节点的可信度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节点x的可信度表示如下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jc w:val="center"/>
        <w:rPr>
          <w:rFonts w:ascii="Cambria Math"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/>
                </w:rPr>
                <m:t>Credit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 = ϵ×SV + θ ×DC+ ϑ × VV + μ  × CP</m:t>
          </m:r>
        </m:oMath>
      </m:oMathPara>
    </w:p>
    <w:p>
      <w:pPr>
        <w:jc w:val="center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mbria Math" w:hAnsi="Cambria Math"/>
          <w:i w:val="0"/>
          <w:lang w:val="en-US" w:eastAsia="zh-Hans"/>
        </w:rPr>
      </w:pPr>
      <m:oMath>
        <m:r>
          <m:rPr/>
          <w:rPr>
            <w:rFonts w:ascii="Cambria Math" w:hAnsi="Cambria Math"/>
            <w:lang w:val="en-US"/>
          </w:rPr>
          <m:t xml:space="preserve"> ϵ</m:t>
        </m:r>
      </m:oMath>
      <w:r>
        <w:rPr>
          <w:rFonts w:ascii="Cambria Math" w:hAnsi="Cambria Math"/>
          <w:i w:val="0"/>
        </w:rPr>
        <w:t>,</w:t>
      </w:r>
      <m:oMath>
        <m:r>
          <m:rPr/>
          <w:rPr>
            <w:rFonts w:ascii="Cambria Math" w:hAnsi="Cambria Math"/>
            <w:lang w:val="en-US"/>
          </w:rPr>
          <m:t>θ</m:t>
        </m:r>
      </m:oMath>
      <w:r>
        <w:rPr>
          <w:rFonts w:ascii="Cambria Math" w:hAnsi="Cambria Math"/>
          <w:i w:val="0"/>
        </w:rPr>
        <w:t>,</w:t>
      </w:r>
      <m:oMath>
        <m:r>
          <m:rPr/>
          <w:rPr>
            <w:rFonts w:ascii="Cambria Math" w:hAnsi="Cambria Math"/>
            <w:lang w:val="en-US"/>
          </w:rPr>
          <m:t>ϑ</m:t>
        </m:r>
      </m:oMath>
      <w:r>
        <w:rPr>
          <w:rFonts w:hint="eastAsia" w:ascii="Cambria Math" w:hAnsi="Cambria Math"/>
          <w:i w:val="0"/>
          <w:lang w:val="en-US" w:eastAsia="zh-Hans"/>
        </w:rPr>
        <w:t>和</w:t>
      </w:r>
      <m:oMath>
        <m:r>
          <m:rPr/>
          <w:rPr>
            <w:rFonts w:ascii="Cambria Math" w:hAnsi="Cambria Math"/>
            <w:lang w:val="en-US"/>
          </w:rPr>
          <m:t xml:space="preserve"> μ</m:t>
        </m:r>
      </m:oMath>
      <w:r>
        <w:rPr>
          <w:rFonts w:hint="eastAsia" w:ascii="Cambria Math" w:hAnsi="Cambria Math"/>
          <w:i w:val="0"/>
          <w:lang w:val="en-US" w:eastAsia="zh-Hans"/>
        </w:rPr>
        <w:t>表示节点x的稳定度</w:t>
      </w:r>
      <w:r>
        <w:rPr>
          <w:rFonts w:hint="default" w:ascii="Cambria Math" w:hAnsi="Cambria Math"/>
          <w:i w:val="0"/>
          <w:lang w:eastAsia="zh-Hans"/>
        </w:rPr>
        <w:t>、</w:t>
      </w:r>
      <w:r>
        <w:rPr>
          <w:rFonts w:hint="eastAsia" w:ascii="Cambria Math" w:hAnsi="Cambria Math"/>
          <w:i w:val="0"/>
          <w:lang w:val="en-US" w:eastAsia="zh-Hans"/>
        </w:rPr>
        <w:t>联通度</w:t>
      </w:r>
      <w:r>
        <w:rPr>
          <w:rFonts w:hint="default" w:ascii="Cambria Math" w:hAnsi="Cambria Math"/>
          <w:i w:val="0"/>
          <w:lang w:eastAsia="zh-Hans"/>
        </w:rPr>
        <w:t>、</w:t>
      </w:r>
      <w:r>
        <w:rPr>
          <w:rFonts w:hint="eastAsia" w:ascii="Cambria Math" w:hAnsi="Cambria Math"/>
          <w:i w:val="0"/>
          <w:lang w:val="en-US" w:eastAsia="zh-Hans"/>
        </w:rPr>
        <w:t>数据有效性和算力在可信度中的权重</w:t>
      </w:r>
      <w:r>
        <w:rPr>
          <w:rFonts w:hint="default" w:ascii="Cambria Math" w:hAnsi="Cambria Math"/>
          <w:i w:val="0"/>
          <w:lang w:eastAsia="zh-Hans"/>
        </w:rPr>
        <w:t>。</w:t>
      </w:r>
      <w:r>
        <w:rPr>
          <w:rFonts w:hint="eastAsia" w:ascii="Cambria Math" w:hAnsi="Cambria Math"/>
          <w:i w:val="0"/>
          <w:lang w:val="en-US" w:eastAsia="zh-Hans"/>
        </w:rPr>
        <w:t>根据TSN对各个指标需求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各项权重可以调整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且满足</w:t>
      </w:r>
    </w:p>
    <w:p>
      <w:pPr>
        <w:ind w:firstLine="420" w:firstLineChars="0"/>
        <w:jc w:val="center"/>
        <w:rPr>
          <w:rFonts w:hAnsi="Cambria Math" w:cs="Calibri Bold"/>
          <w:bCs w:val="0"/>
          <w:i w:val="0"/>
        </w:rPr>
      </w:pPr>
      <m:oMathPara>
        <m:oMath>
          <m:r>
            <m:rPr/>
            <w:rPr>
              <w:rFonts w:ascii="Cambria Math" w:hAnsi="Cambria Math"/>
              <w:lang w:val="en-US"/>
            </w:rPr>
            <m:t>ϵ+ θ+ ϑ+ μ= 1</m:t>
          </m:r>
        </m:oMath>
      </m:oMathPara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区块与数据结构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本研究扩展了区块的事务消息内容，包括基本的操作信息Base Info、节点的状态信息Sys.Node Info和控制信息Control Info。节点信息包括2.3.1提出的信用节点评价指标，这些指标用于维护信用节点评价指标体系，实现监督链节点相关数值的量化监控和评价，通过2.3.2多维权威节点选举机制筛选合适节点构建节点候选集，实现节点的非交互、无感知、平滑地动态更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2.4是区块结构和数据结构设计，区块数据结构的设计目标是实现对被监管链审计的同时，实现网络的可扩展性。审计链在主链存储对被监管链审计的事务，随着网络扩展，主链从传统事务链平滑演进为控制链。区块将从初始区块、过渡区块、控制区块动态演进。控制链存储对扩展子链的控制信息。同时通过叔区块存储网络中的争议和分歧，并通过激励机制鼓励节点同步叔区块，并主链侄节点存储叔区块相关信息。</w:t>
      </w:r>
    </w:p>
    <w:p>
      <w:pPr>
        <w:rPr>
          <w:rFonts w:hint="default"/>
          <w:lang w:val="en-US" w:eastAsia="zh-CN"/>
        </w:rPr>
      </w:pPr>
    </w:p>
    <w:p>
      <w:pPr>
        <w:rPr>
          <w:rStyle w:val="14"/>
          <w:rFonts w:hint="default" w:ascii="宋体" w:hAnsi="宋体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919220"/>
            <wp:effectExtent l="0" t="0" r="889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图2.4 监管链区块与数据结构</w:t>
      </w:r>
    </w:p>
    <w:p>
      <w:pPr>
        <w:rPr>
          <w:rStyle w:val="14"/>
          <w:rFonts w:hint="default" w:ascii="宋体" w:hAnsi="宋体"/>
          <w:bCs/>
          <w:sz w:val="28"/>
          <w:szCs w:val="28"/>
          <w:lang w:val="en-US" w:eastAsia="zh-CN"/>
        </w:rPr>
      </w:pP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4"/>
          <w:rFonts w:ascii="宋体" w:hAnsi="宋体"/>
          <w:bCs/>
          <w:sz w:val="28"/>
          <w:szCs w:val="28"/>
        </w:rPr>
      </w:pPr>
      <w:r>
        <w:rPr>
          <w:rStyle w:val="14"/>
          <w:rFonts w:hint="eastAsia" w:ascii="宋体" w:hAnsi="宋体"/>
          <w:bCs/>
          <w:sz w:val="28"/>
          <w:szCs w:val="28"/>
          <w:lang w:val="en-US" w:eastAsia="zh-CN"/>
        </w:rPr>
        <w:t xml:space="preserve">结论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现阶段工作已完成监管链数据结构和网络结构的初步设计思路（2.3.3），建立了实现节点分级的信用节点评价指标（2.3.1），并依据评价指标设计了多维权威节点选举算法（2.3.2）。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本阶段的工作围绕节点动态更新和候选集构建开展，缺乏对系统安全性、吞吐量和扩展性的整体思考和系统设计。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年度的工作将重点围绕PBFT性能问题，5000tps吞吐量挑战等方面展开。同时应用层和共识层的信任机制解耦需求迫切，本研究将提出应用共识解耦的具体方案。在候选集构建、节点动态更新、PBFT改进等方面形成高质量SCI论文1篇、专利1个、软件著作权1项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（阶段研究工作完成情况、经验和教训、下一年度或下一阶段的工作计划和建议）</w:t>
      </w:r>
    </w:p>
    <w:p>
      <w:pPr>
        <w:spacing w:line="360" w:lineRule="auto"/>
        <w:jc w:val="left"/>
        <w:rPr>
          <w:rStyle w:val="14"/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（参考文献的著录遵照GB/T 7714《文后参考文献著录规则》 的规定执行。）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6BE7E"/>
    <w:multiLevelType w:val="multilevel"/>
    <w:tmpl w:val="9776BE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12F4991"/>
    <w:multiLevelType w:val="multilevel"/>
    <w:tmpl w:val="212F4991"/>
    <w:lvl w:ilvl="0" w:tentative="0">
      <w:start w:val="1"/>
      <w:numFmt w:val="decimal"/>
      <w:suff w:val="space"/>
      <w:lvlText w:val="%1"/>
      <w:lvlJc w:val="left"/>
      <w:pPr>
        <w:ind w:left="425" w:hanging="425"/>
      </w:pPr>
      <w:rPr>
        <w:rFonts w:hint="default" w:ascii="Times New Roman" w:hAnsi="Times New Roman" w:eastAsia="黑体"/>
        <w:b/>
        <w:bCs/>
        <w:i w:val="0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D0301"/>
    <w:rsid w:val="02514E07"/>
    <w:rsid w:val="040A0593"/>
    <w:rsid w:val="04C02EAF"/>
    <w:rsid w:val="05893BD1"/>
    <w:rsid w:val="05E05548"/>
    <w:rsid w:val="073E4BF1"/>
    <w:rsid w:val="08165FED"/>
    <w:rsid w:val="086D0301"/>
    <w:rsid w:val="08F35181"/>
    <w:rsid w:val="0A3B36C2"/>
    <w:rsid w:val="0B3B11F2"/>
    <w:rsid w:val="0DA36B84"/>
    <w:rsid w:val="0EF173CE"/>
    <w:rsid w:val="0F71327A"/>
    <w:rsid w:val="10576D4C"/>
    <w:rsid w:val="1098350E"/>
    <w:rsid w:val="10BE6926"/>
    <w:rsid w:val="10D7269A"/>
    <w:rsid w:val="10F02F3B"/>
    <w:rsid w:val="10FB1086"/>
    <w:rsid w:val="113E294D"/>
    <w:rsid w:val="1301124C"/>
    <w:rsid w:val="132B08EF"/>
    <w:rsid w:val="136863E2"/>
    <w:rsid w:val="13830A96"/>
    <w:rsid w:val="144254CF"/>
    <w:rsid w:val="16F76AF7"/>
    <w:rsid w:val="176A128A"/>
    <w:rsid w:val="187B16B6"/>
    <w:rsid w:val="192F6CEA"/>
    <w:rsid w:val="1BBB00EF"/>
    <w:rsid w:val="1BF44B8C"/>
    <w:rsid w:val="1C6B46F1"/>
    <w:rsid w:val="1DC87FB0"/>
    <w:rsid w:val="1DD21869"/>
    <w:rsid w:val="1EA21683"/>
    <w:rsid w:val="1F014800"/>
    <w:rsid w:val="1F165272"/>
    <w:rsid w:val="20A715FB"/>
    <w:rsid w:val="21315BBF"/>
    <w:rsid w:val="219D5104"/>
    <w:rsid w:val="22C61F2A"/>
    <w:rsid w:val="24167D83"/>
    <w:rsid w:val="24AB7D71"/>
    <w:rsid w:val="26022F19"/>
    <w:rsid w:val="27833B01"/>
    <w:rsid w:val="27CC676C"/>
    <w:rsid w:val="27EA3BAD"/>
    <w:rsid w:val="289F0EC8"/>
    <w:rsid w:val="2AA30D04"/>
    <w:rsid w:val="2B191387"/>
    <w:rsid w:val="2BAD4029"/>
    <w:rsid w:val="2C820638"/>
    <w:rsid w:val="2D027C8C"/>
    <w:rsid w:val="2DC86FB6"/>
    <w:rsid w:val="2E7930BC"/>
    <w:rsid w:val="2FDE33B2"/>
    <w:rsid w:val="30365266"/>
    <w:rsid w:val="310E01DC"/>
    <w:rsid w:val="311A1D81"/>
    <w:rsid w:val="31F67A45"/>
    <w:rsid w:val="330C0154"/>
    <w:rsid w:val="33462385"/>
    <w:rsid w:val="336756CF"/>
    <w:rsid w:val="33E72A5D"/>
    <w:rsid w:val="34243328"/>
    <w:rsid w:val="34267FD7"/>
    <w:rsid w:val="349D4D2E"/>
    <w:rsid w:val="34FB4746"/>
    <w:rsid w:val="35217D17"/>
    <w:rsid w:val="359E0C9E"/>
    <w:rsid w:val="35E85B1D"/>
    <w:rsid w:val="39B62043"/>
    <w:rsid w:val="39F363A3"/>
    <w:rsid w:val="3A4A2305"/>
    <w:rsid w:val="3BBA7FDF"/>
    <w:rsid w:val="3C5B12B5"/>
    <w:rsid w:val="3C82758F"/>
    <w:rsid w:val="3C8F1928"/>
    <w:rsid w:val="3CEB33F1"/>
    <w:rsid w:val="3D961DDD"/>
    <w:rsid w:val="3DB76ED3"/>
    <w:rsid w:val="3DFE2BAA"/>
    <w:rsid w:val="3E1600C3"/>
    <w:rsid w:val="3E385DB9"/>
    <w:rsid w:val="3EAE62B2"/>
    <w:rsid w:val="3ED3124A"/>
    <w:rsid w:val="3F1A044B"/>
    <w:rsid w:val="3F564120"/>
    <w:rsid w:val="42DE5C9D"/>
    <w:rsid w:val="431A7534"/>
    <w:rsid w:val="432569DF"/>
    <w:rsid w:val="440D39C5"/>
    <w:rsid w:val="45AB3757"/>
    <w:rsid w:val="462223C4"/>
    <w:rsid w:val="48374852"/>
    <w:rsid w:val="48435AF5"/>
    <w:rsid w:val="490A5676"/>
    <w:rsid w:val="4A881DCD"/>
    <w:rsid w:val="4B6B72DD"/>
    <w:rsid w:val="4BD725D1"/>
    <w:rsid w:val="4D3056B4"/>
    <w:rsid w:val="4D4F5988"/>
    <w:rsid w:val="519B6A83"/>
    <w:rsid w:val="52F2778F"/>
    <w:rsid w:val="531E3E9B"/>
    <w:rsid w:val="531F7813"/>
    <w:rsid w:val="53D14B10"/>
    <w:rsid w:val="56513196"/>
    <w:rsid w:val="59D81D37"/>
    <w:rsid w:val="5C5F685C"/>
    <w:rsid w:val="5CD06A84"/>
    <w:rsid w:val="5E470330"/>
    <w:rsid w:val="5E842C3D"/>
    <w:rsid w:val="5FF12574"/>
    <w:rsid w:val="614B6F40"/>
    <w:rsid w:val="61EF489C"/>
    <w:rsid w:val="622646E4"/>
    <w:rsid w:val="62D01557"/>
    <w:rsid w:val="63502681"/>
    <w:rsid w:val="64D81005"/>
    <w:rsid w:val="64F462FB"/>
    <w:rsid w:val="65A5393D"/>
    <w:rsid w:val="65A86B9A"/>
    <w:rsid w:val="660D5F9E"/>
    <w:rsid w:val="668F4475"/>
    <w:rsid w:val="669821D0"/>
    <w:rsid w:val="673C3846"/>
    <w:rsid w:val="680E420F"/>
    <w:rsid w:val="6A585816"/>
    <w:rsid w:val="6C0F7628"/>
    <w:rsid w:val="6D8D1457"/>
    <w:rsid w:val="6DE066A6"/>
    <w:rsid w:val="6EA12C11"/>
    <w:rsid w:val="6F774430"/>
    <w:rsid w:val="6F7C0190"/>
    <w:rsid w:val="701E7160"/>
    <w:rsid w:val="716B4877"/>
    <w:rsid w:val="71C17BC1"/>
    <w:rsid w:val="71C4307B"/>
    <w:rsid w:val="732E742D"/>
    <w:rsid w:val="73365618"/>
    <w:rsid w:val="747A31B8"/>
    <w:rsid w:val="7487215A"/>
    <w:rsid w:val="756C049A"/>
    <w:rsid w:val="76FF4DF0"/>
    <w:rsid w:val="77630E58"/>
    <w:rsid w:val="78B05CDB"/>
    <w:rsid w:val="79222059"/>
    <w:rsid w:val="79C17AB5"/>
    <w:rsid w:val="7A3A66B9"/>
    <w:rsid w:val="7C8C2E2E"/>
    <w:rsid w:val="7E242B59"/>
    <w:rsid w:val="7E900516"/>
    <w:rsid w:val="7FFD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line="480" w:lineRule="auto"/>
      <w:ind w:left="575" w:hanging="575"/>
      <w:outlineLvl w:val="1"/>
    </w:pPr>
    <w:rPr>
      <w:rFonts w:eastAsia="黑体"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="等线" w:hAnsi="等线" w:eastAsia="等线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4">
    <w:name w:val="Hyperlink"/>
    <w:qFormat/>
    <w:uiPriority w:val="99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2021-10-11T03:39:00Z</dcterms:created>
  <dc:creator>蒋佳佳</dc:creator>
  <cp:lastModifiedBy>白杨</cp:lastModifiedBy>
  <dcterms:modified xsi:type="dcterms:W3CDTF">2021-10-14T16:10:06Z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37AF92E80CD94104A843D44E30DE6A67</vt:lpwstr>
  </property>
</Properties>
</file>