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100" w:after="100"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8"/>
          <w:rFonts w:hint="default" w:ascii="Times New Roman" w:hAnsi="Times New Roman" w:eastAsia="黑体" w:cs="Times New Roman"/>
          <w:b w:val="0"/>
          <w:sz w:val="32"/>
          <w:szCs w:val="32"/>
        </w:rPr>
        <w:t xml:space="preserve"> </w:t>
      </w:r>
      <w:bookmarkStart w:id="0" w:name="_Toc24073"/>
      <w:r>
        <w:rPr>
          <w:rStyle w:val="8"/>
          <w:rFonts w:hint="default" w:ascii="Times New Roman" w:hAnsi="Times New Roman" w:eastAsia="黑体" w:cs="Times New Roman"/>
          <w:b w:val="0"/>
          <w:sz w:val="32"/>
          <w:szCs w:val="32"/>
          <w:lang w:val="en-US" w:eastAsia="zh-CN"/>
        </w:rPr>
        <w:t>“以链治链”架构下的监管链共识算法</w:t>
      </w:r>
      <w:bookmarkEnd w:id="0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eastAsia" w:cs="Times New Roman"/>
          <w:sz w:val="28"/>
          <w:szCs w:val="28"/>
          <w:lang w:val="en-US" w:eastAsia="zh-CN"/>
        </w:rPr>
        <w:t>现有区块链共识算法存在的问题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公链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中，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因不存在准入机制，所以采用计算密集的PoW算法，共识操作会消耗大量计算资源；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同时，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为了保证共识协议的安全性，区块的共识速率被人为地限制，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导致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网络吞吐量较差；目前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区块链系统中算力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多集中在少数的矿池，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使得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51%攻击变为会切实发生的威胁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，影响区块链系统的安全性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联盟链/私链这类存在准入机制的区块链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中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，共识协议普遍采用Crash Fault Tolerance方案，这在提高性能的同时牺牲掉了安全性，同时还存在着过强的安全假设，即要求加入节点是完全可信的，没有考虑到节点作恶的情况。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在“以链治链”架构下，如何调和监管需求与共识算法效率、安全性之间的矛盾，是本任务要解决的关键问题。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hint="default" w:ascii="Times New Roman" w:hAnsi="Times New Roman" w:cs="Times New Roman"/>
          <w:bCs/>
          <w:sz w:val="28"/>
          <w:szCs w:val="28"/>
        </w:rPr>
      </w:pPr>
      <w:bookmarkStart w:id="1" w:name="_Toc23041"/>
      <w:r>
        <w:rPr>
          <w:rStyle w:val="8"/>
          <w:rFonts w:hint="eastAsia" w:cs="Times New Roman"/>
          <w:bCs/>
          <w:sz w:val="28"/>
          <w:szCs w:val="28"/>
          <w:lang w:val="en-US" w:eastAsia="zh-CN"/>
        </w:rPr>
        <w:t>“以链治链”架构下监管链共识算法详细技术方案</w:t>
      </w:r>
      <w:bookmarkEnd w:id="1"/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2" w:name="_Toc15582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监管链区块设计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方案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扩展了区块链基本块结构，提出了监管区块结构的设计。设计思路如图2-1所示，本研究扩展了区块的事务消息内容，包括基本的操作信息Base Info、节点的状态信息Sys.Node Info和控制信息Control Info。节点信息用于维护信用节点评价指标体系，实现监督链节点相关数值的量化监控和评价，通过评价算法筛选合适节点构建节点候选集，实现节点的非交互、无感知、平滑地动态更新。控制信息包括授权信息和审计信息，用于监管链的扩容，提高系统吞吐量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63950" cy="2160270"/>
            <wp:effectExtent l="0" t="0" r="1270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="Times New Roman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图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STYLEREF 1 \s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SEQ 图 \* ARABIC \s 1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bookmarkStart w:id="3" w:name="_Toc10636"/>
      <w:bookmarkStart w:id="4" w:name="_Toc29154"/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</w:t>
      </w:r>
      <w:bookmarkStart w:id="5" w:name="OLE_LINK3"/>
      <w:r>
        <w:rPr>
          <w:rFonts w:hint="default" w:ascii="Times New Roman" w:hAnsi="Times New Roman" w:cs="Times New Roman"/>
          <w:sz w:val="22"/>
          <w:szCs w:val="22"/>
          <w:lang w:eastAsia="zh-CN"/>
        </w:rPr>
        <w:t>监管链区块结构基本设计思路</w:t>
      </w:r>
      <w:bookmarkEnd w:id="3"/>
      <w:bookmarkEnd w:id="4"/>
      <w:bookmarkEnd w:id="5"/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6" w:name="_Toc28652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信用节点评价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以联盟链为基础的监管链摒弃了公共链通过PoW缓解拜占庭错误的方案，强化了权威节点的作用和能力。联盟链的权威节点通过了合法验证，降低作恶风险。本研究提出了信用节点评价指标，包括节点稳定度、节点联通度、数据合法性和哈希率。这四个指标综合反映了一个节点在审计链中的安全性、可靠性、稳定性和可用性。</w:t>
      </w:r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7" w:name="_Toc3454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信用节点分类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审计链的节点逻辑上分为三类：客户节点、中间节点和权威节点。通过强化权威节点保证审计链的工作效率，但权威节点并非一成不变。通过信用节点评价指标体系，对三类节点进行度量和评价。</w:t>
      </w:r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8" w:name="_Toc29573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节点动态更新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9" w:name="OLE_LINK4"/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如图2-2信用节点分类与状态迁移，新加入的节点被认为是恶意节点，只有被评价指标体系认可的节点才能称为合法的节点，而且三种节点的身份可以相互转化。三种节点在功能上有重叠，权威节点拥有客户节点和中间节点所有的能力，中间节点具备客户节点的所有能力。</w:t>
      </w:r>
    </w:p>
    <w:bookmarkEnd w:id="9"/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1453515"/>
            <wp:effectExtent l="0" t="0" r="317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="Times New Roman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图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STYLEREF 1 \s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SEQ 图 \* ARABIC \s 1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bookmarkStart w:id="10" w:name="_Toc9923"/>
      <w:bookmarkStart w:id="11" w:name="_Toc10670"/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信用节点分类与状态迁移</w:t>
      </w:r>
      <w:bookmarkEnd w:id="10"/>
      <w:bookmarkEnd w:id="11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12" w:name="_Toc7275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非交互式选举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监管链通过非交互式选举方式实现权威节点的动态更新。通过2.2.2信用节点评价体系，构造权威节点候选集，并持续动态更新该集合。根据监管链的需要，权威节点通过候选集实时更新。被淘汰的节点失去权威节点身份，由候选集补充。权威节点之间通过内部协议达成快速共识。每次补充的权威节点在本次共识结束后加入网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权威节点的选择通过2.3成果展示的信用节点评价指标体系通过全网选举产生，选举活动和节点更新动作是异步的，不会造成阻塞，因此更新将非交互、无感知、平滑的完成。</w:t>
      </w:r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13" w:name="_Toc2871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网络扁平设计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监管链的三种节点组成立体扁平P2P网络结构。根据节点类型设计整体分层网络，局部扁平P2P网络，分层结构实现网络低成本扩容与演进。如图2-3所示，低层级节点向高层级节点汇聚，节点之间组成P2P的扁平拓扑结构。不同层级的组网自下而上，组成立体网络，并保持去中心化结构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352675"/>
            <wp:effectExtent l="0" t="0" r="762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图 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STYLEREF 1 \s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SEQ 图 \* ARABIC \s 1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bookmarkStart w:id="14" w:name="_Toc29585"/>
      <w:bookmarkStart w:id="15" w:name="_Toc3390"/>
      <w:r>
        <w:rPr>
          <w:rFonts w:hint="default" w:ascii="Times New Roman" w:hAnsi="Times New Roman" w:cs="Times New Roman"/>
          <w:sz w:val="21"/>
          <w:szCs w:val="21"/>
          <w:lang w:eastAsia="zh-CN"/>
        </w:rPr>
        <w:t xml:space="preserve"> 监管链分层扁平网络结构</w:t>
      </w:r>
      <w:bookmarkEnd w:id="14"/>
      <w:bookmarkEnd w:id="15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hint="default" w:ascii="Times New Roman" w:hAnsi="Times New Roman" w:cs="Times New Roman"/>
          <w:bCs/>
          <w:sz w:val="28"/>
          <w:szCs w:val="28"/>
        </w:rPr>
      </w:pPr>
      <w:bookmarkStart w:id="16" w:name="_Toc21262"/>
      <w:r>
        <w:rPr>
          <w:rStyle w:val="8"/>
          <w:rFonts w:hint="default" w:ascii="Times New Roman" w:hAnsi="Times New Roman" w:cs="Times New Roman"/>
          <w:bCs/>
          <w:sz w:val="28"/>
          <w:szCs w:val="28"/>
          <w:lang w:val="en-US" w:eastAsia="zh-CN"/>
        </w:rPr>
        <w:t>阶段性成果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研究扩展了区块链基本块结构，提出了监管区块的设计。将监督链节点划分为客户节点、中间节点、权威节点三种类型。提取三种节点的共性指标，对其量化描述，依据信用节点评价指标体系构建节点演进算法从而构建候选集。依赖候选集通过非交互式地进行节点的动态更新。</w:t>
      </w:r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17" w:name="_Toc3273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信用节点评价指标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在2.2.3中将节点分为三类。权威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节点是可信、稳定的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，同时应当具备一定算力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本研究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提出了多项指标评估一个节点是否具备能力担任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权威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角色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从节点的在线时长、联通度、误码率、算力等方面考量。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Stability Value(SV)：稳定度反映了一个节点在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中的稳定在线时长。只有SV超过预设特定阈值的节点才有资格成为核心节点。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所有节点组成的网络拓扑结构是动态变化的，有的节点稳定在线，有的节点频繁的上线和下线。假设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核心节点在一个时间片段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内数量是固定的，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a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代表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平均核心节点算力，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代表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核心节点数量。当前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的总算力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 xml:space="preserve">s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 xml:space="preserve">= 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a·n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。算力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刚好满足当前网络处理数据的要求。但是比例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的节点在线时间不稳定，为了保证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 xml:space="preserve">的业务处理最低能力，只能保守地把全网算力降为s = 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(1-m)·a·n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。对应的，需要降低区块的目标难度。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显然，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的整体算力变化应该处于一个合理的区间，所以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中提供算力的节点就需要稳定在线。一个刚加入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，在时间片段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内，在线时长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t1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，离线时长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t2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，离线次数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Toff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要求在线时长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td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szCs w:val="21"/>
                  <w:lang w:val="en-US"/>
                </w:rPr>
                <m:t>SV</m:t>
              </m: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szCs w:val="21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  <w:lang w:val="en-US"/>
                    </w:rPr>
                    <m:t xml:space="preserve">0       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&lt;t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i = 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off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e>
                      </m:nary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+  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 + 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off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Degree Value(DV)：节点度是指和该节点相关联的边的条数，又称关联度。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鼓励节点与更多的节点通信，避免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出现割边或割点。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的平均DV提高后，一方面提高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的稳定性，另一方面减少矿池的出现和私自挖矿等攻击。因此节点的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越高，越可信。低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的节点被认为是孤立的节点。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假设节点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在时间片段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内与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个节点通信，那么节点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DV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=m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假设若干个节点之间相互通信，组成矿池。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认为这几个节点也是逐渐变为孤立点，其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值逐渐弱化，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设定衰减系数</w:t>
      </w:r>
      <m:oMath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α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新增节点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个，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DV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表示为：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DV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=</m:t>
          </m:r>
          <w:bookmarkStart w:id="18" w:name="OLE_LINK2"/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m</m:t>
          </m:r>
          <w:bookmarkEnd w:id="18"/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+</m:t>
          </m:r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α·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DV</m:t>
              </m:r>
              <m:ctrlPr>
                <w:rPr>
                  <w:rFonts w:hint="default" w:ascii="Cambria Math" w:hAnsi="Cambria Math" w:cs="Times New Roman"/>
                  <w:b w:val="0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b w:val="0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Validity Value(VV):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数据有效性主要衡量两个指标，一方面是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衡量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在规定时间内数据传输精确性。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另一方面衡量节点在规定时间内数据的有效性。精确性体现在一个节点如果转发和确认的数据与原数据有差异，可以认为数据被修改。有效性体现在一个节点如果转发和确认的数据已经存在于区块链上，可以认为数据是无效的。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VV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保证了数据的正确性，避免数据被窜改。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VV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也避免了数据重复被确认，造成网络资源的浪费。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假设节点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在时间片段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内的接受到数据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R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转发正确数据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 xml:space="preserve"> S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打包数据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P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确认有效数据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L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的合法性最小值是</w:t>
      </w:r>
      <m:oMath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β</m:t>
        </m:r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，有效性最小是是</m:t>
        </m:r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γ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VV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的计算如下：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VV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= 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 xml:space="preserve">0 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 xml:space="preserve"> S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&lt;β,</m:t>
                      </m:r>
                      <m:f>
                        <m:fPr>
                          <m:type m:val="skw"/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L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&lt;γ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 xml:space="preserve"> S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×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Computational Power(CP):算力（也称哈希率）是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处理数据能力的度量单位。即为计算机（CPU）计算哈希函数输出的速度。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必须为了安全目的而进行密集的数学和加密相关操作。在某一时间段t内，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处理段数据量是一定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在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内处理这些数据需要算力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 hash/s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，全网符合要求的核心节点数量为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，则单节点的算力为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 xml:space="preserve">n 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=  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m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的数据处理能力需要不断提升，所以核心节点的数量和核心节点的算力也要提升。算力可以作为限制条件排除一些低算力的节点，算力也可以作为竞争指标增强节点的可信度。如果存在一个节点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x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，其算力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 xml:space="preserve">x 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平均算力为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 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且有：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 xml:space="preserve">x 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≫ 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x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将在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中占据主导地位。因此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本研究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限制节点的算力不可无限膨胀，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规定底数</w:t>
      </w:r>
      <m:oMath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δ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以</w:t>
      </w:r>
      <m:oMath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δ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为底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 xml:space="preserve">x 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的对数作为算力度量值。在鼓励节点增加算力的同时，限制节点进行算力攻击。如下：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CP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 xml:space="preserve"> = 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δ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 xml:space="preserve">x 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 xml:space="preserve">δ= 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m 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 xml:space="preserve">x 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 xml:space="preserve"> 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 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</m:d>
        </m:oMath>
      </m:oMathPara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19" w:name="_Toc520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多维权威节点选举机制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本研究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提出了多维度指标描述节点的各项性能。这些指标综合体现一个节点的可信度。节点x的可信度表示如下：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Credit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 = ϵ×SV + θ ×DC+ ϑ × VV + μ  × CP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 ϵ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θ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ϑ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和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 μ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表示节点x的稳定度、联通度、数据有效性和算力在可信度中的权重。根据TSN对各个指标需求，各项权重可以调整，且满足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ϵ+ θ+ ϑ+ μ= 1</m:t>
          </m:r>
        </m:oMath>
      </m:oMathPara>
    </w:p>
    <w:p>
      <w:pPr>
        <w:pStyle w:val="4"/>
        <w:bidi w:val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20" w:name="_Toc30826"/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区块与数据结构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本研究扩展了区块的事务消息内容，包括基本的操作信息Base Info、节点的状态信息Sys.Node Info和控制信息Control Info。节点信息包括2.3.1提出的信用节点评价指标，这些指标用于维护信用节点评价指标体系，实现监督链节点相关数值的量化监控和评价，通过2.3.2多维权威节点选举机制筛选合适节点构建节点候选集，实现节点的非交互、无感知、平滑地动态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如图2-4是区块结构和数据结构设计，区块数据结构的设计目标是实现对被监管链审计的同时，实现网络的可扩展性。审计链在主链存储对被监管链审计的事务，随着网络扩展，主链从传统事务链平滑演进为控制链。区块将从初始区块、过渡区块、控制区块动态演进。控制链存储对扩展子链的控制信息。同时通过叔区块存储网络中的争议和分歧，并通过激励机制鼓励节点同步叔区块，并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主链侄节点存储叔区块相关信息。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3919220"/>
            <wp:effectExtent l="0" t="0" r="889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Style w:val="8"/>
          <w:rFonts w:hint="default" w:ascii="Times New Roman" w:hAnsi="Times New Roman" w:cs="Times New Roman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图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STYLEREF 1 \s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SEQ 图 \* ARABIC \s 1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4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bookmarkStart w:id="21" w:name="_Toc28821"/>
      <w:bookmarkStart w:id="22" w:name="_Toc560"/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监管链区块与数据结构</w:t>
      </w:r>
      <w:bookmarkEnd w:id="21"/>
      <w:bookmarkEnd w:id="22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hint="default" w:ascii="Times New Roman" w:hAnsi="Times New Roman" w:cs="Times New Roman"/>
          <w:bCs/>
          <w:sz w:val="28"/>
          <w:szCs w:val="28"/>
        </w:rPr>
      </w:pPr>
      <w:bookmarkStart w:id="23" w:name="_Toc6809"/>
      <w:r>
        <w:rPr>
          <w:rStyle w:val="8"/>
          <w:rFonts w:hint="default" w:ascii="Times New Roman" w:hAnsi="Times New Roman" w:cs="Times New Roman"/>
          <w:bCs/>
          <w:sz w:val="28"/>
          <w:szCs w:val="28"/>
          <w:lang w:val="en-US" w:eastAsia="zh-CN"/>
        </w:rPr>
        <w:t>结论</w:t>
      </w:r>
      <w:bookmarkEnd w:id="23"/>
      <w:r>
        <w:rPr>
          <w:rStyle w:val="8"/>
          <w:rFonts w:hint="default" w:ascii="Times New Roman" w:hAnsi="Times New Roman" w:cs="Times New Roman"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26" w:name="_GoBack"/>
      <w:bookmarkStart w:id="24" w:name="OLE_LINK1"/>
      <w:bookmarkStart w:id="25" w:name="OLE_LINK5"/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现阶段工作已完成监管链数据结构和网络结构的初步设计思路（2.3.3），建立了实现节点分级的信用节点评价指标（2.3.1），并依据评价指标设计了多维权威节点选举算法（2.3.2）。</w:t>
      </w:r>
    </w:p>
    <w:bookmarkEnd w:id="2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本阶段的工作围绕节点动态更新和候选集构建开展，缺乏对系统安全性、吞吐量和扩展性的整体思考和系统设计。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下一年度的工作将重点围绕PBFT性能问题，5000tps吞吐量挑战等方面展开。同时应用层和共识层的信任机制解耦需求迫切，本研究将提出应用共识解耦的具体方案。在候选集构建、节点动态更新、PBFT改进等方面形成高质量SCI论文1篇、专利1个、软件著作权1项。</w:t>
      </w:r>
      <w:bookmarkEnd w:id="26"/>
    </w:p>
    <w:bookmarkEnd w:id="25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F4991"/>
    <w:multiLevelType w:val="multilevel"/>
    <w:tmpl w:val="212F4991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812BB"/>
    <w:rsid w:val="2D5C48B4"/>
    <w:rsid w:val="336812BB"/>
    <w:rsid w:val="36843B47"/>
    <w:rsid w:val="40A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等线" w:hAnsi="等线" w:eastAsia="等线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Arial" w:hAnsi="Arial" w:eastAsia="黑体"/>
      <w:sz w:val="20"/>
    </w:rPr>
  </w:style>
  <w:style w:type="character" w:styleId="8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2021-11-18T13:00:00Z</dcterms:created>
  <dc:creator>蒋佳佳</dc:creator>
  <cp:lastModifiedBy>白杨</cp:lastModifiedBy>
  <dcterms:modified xsi:type="dcterms:W3CDTF">2021-11-20T02:25:08Z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80A23A171F214ACCBACAE2B400C9B0E7</vt:lpwstr>
  </property>
</Properties>
</file>