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【需求文档】VIP道具&amp;邮件批量审批、专人专码新增礼包价值描述</w:t>
      </w:r>
    </w:p>
    <w:p>
      <w:pPr/>
      <w:r>
        <w:t xml:space="preserve">从需求设计、开发到测试，希望尽可能提高AI覆盖率</w:t>
      </w:r>
    </w:p>
    <w:p>
      <w:bookmarkStart w:id="mkdvck81792t2dedpr3" w:name="mkdvck81792t2dedpr3"/>
      <w:pPr>
        <w:pStyle w:val="dingding-heading1"/>
        <w:spacing w:line="223.99999999999997"/>
      </w:pPr>
      <w:r>
        <w:rPr>
          <w:sz w:val="42"/>
          <w:b w:val="1"/>
        </w:rPr>
        <w:t xml:space="preserve">修订记录</w:t>
      </w:r>
      <w:bookmarkEnd w:id="mkdvck81792t2dedpr3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686"/>
        <w:gridCol w:w="3686"/>
        <w:gridCol w:w="3686"/>
        <w:gridCol w:w="3686"/>
      </w:tblGrid>
      <w:tr>
        <w:trPr>
          <w:trHeight w:val="0"/>
        </w:trPr>
        <w:tc>
          <w:tcPr>
            <w:tcW w:w="3686" w:type="dxa"/>
          </w:tcPr>
          <w:p>
            <w:pPr/>
            <w:r>
              <w:t xml:space="preserve">修订版本</w:t>
            </w:r>
          </w:p>
        </w:tc>
        <w:tc>
          <w:tcPr>
            <w:tcW w:w="3686" w:type="dxa"/>
          </w:tcPr>
          <w:p>
            <w:pPr/>
            <w:r>
              <w:t xml:space="preserve">修订内容</w:t>
            </w:r>
          </w:p>
        </w:tc>
        <w:tc>
          <w:tcPr>
            <w:tcW w:w="3686" w:type="dxa"/>
          </w:tcPr>
          <w:p>
            <w:pPr/>
            <w:r>
              <w:t xml:space="preserve">修订人</w:t>
            </w:r>
          </w:p>
        </w:tc>
        <w:tc>
          <w:tcPr>
            <w:tcW w:w="3686" w:type="dxa"/>
          </w:tcPr>
          <w:p>
            <w:pPr/>
            <w:r>
              <w:t xml:space="preserve">修订时间</w:t>
            </w:r>
          </w:p>
        </w:tc>
      </w:tr>
      <w:tr>
        <w:trPr>
          <w:trHeight w:val="0"/>
        </w:trPr>
        <w:tc>
          <w:tcPr>
            <w:tcW w:w="3686" w:type="dxa"/>
          </w:tcPr>
          <w:p>
            <w:pPr/>
            <w:r>
              <w:t xml:space="preserve">v1.0</w:t>
            </w:r>
          </w:p>
        </w:tc>
        <w:tc>
          <w:tcPr>
            <w:tcW w:w="3686" w:type="dxa"/>
          </w:tcPr>
          <w:p>
            <w:pPr/>
            <w:r>
              <w:t xml:space="preserve">需求整理</w:t>
            </w:r>
          </w:p>
        </w:tc>
        <w:tc>
          <w:tcPr>
            <w:tcW w:w="3686" w:type="dxa"/>
          </w:tcPr>
          <w:p>
            <w:pPr/>
            <w:r>
              <w:t xml:space="preserve">杨小亮</w:t>
            </w:r>
          </w:p>
        </w:tc>
        <w:tc>
          <w:tcPr>
            <w:tcW w:w="3686" w:type="dxa"/>
          </w:tcPr>
          <w:p>
            <w:pPr/>
            <w:r>
              <w:t xml:space="preserve">2026-01-14</w:t>
            </w:r>
          </w:p>
        </w:tc>
      </w:tr>
    </w:tbl>
    <w:p>
      <w:bookmarkStart w:id="mkdvc3n2edz2z7dz2p6" w:name="mkdvc3n2edz2z7dz2p6"/>
      <w:pPr>
        <w:pStyle w:val="dingding-heading1"/>
        <w:spacing w:line="223.99999999999997"/>
      </w:pPr>
      <w:r>
        <w:rPr>
          <w:sz w:val="42"/>
          <w:b w:val="1"/>
        </w:rPr>
        <w:t xml:space="preserve">需求目标</w:t>
      </w:r>
      <w:bookmarkEnd w:id="mkdvc3n2edz2z7dz2p6"/>
    </w:p>
    <w:p>
      <w:pPr>
        <w:pStyle w:val="dingding_quote"/>
      </w:pPr>
      <w:r>
        <w:t xml:space="preserve">为什么要做这期需求，解决什么问题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671"/>
        <w:gridCol w:w="8783"/>
        <w:gridCol w:w="2289"/>
      </w:tblGrid>
      <w:tr>
        <w:trPr>
          <w:trHeight w:val="660"/>
        </w:trPr>
        <w:tc>
          <w:tcPr>
            <w:tcW w:w="3671" w:type="dxa"/>
          </w:tcPr>
          <w:p>
            <w:pPr/>
            <w:r>
              <w:t xml:space="preserve">需求目标</w:t>
            </w:r>
          </w:p>
        </w:tc>
        <w:tc>
          <w:tcPr>
            <w:tcW w:w="8783" w:type="dxa"/>
          </w:tcPr>
          <w:p>
            <w:pPr/>
            <w:r>
              <w:t xml:space="preserve">需求背景</w:t>
            </w:r>
          </w:p>
        </w:tc>
        <w:tc>
          <w:tcPr>
            <w:tcW w:w="2289" w:type="dxa"/>
          </w:tcPr>
          <w:p>
            <w:pPr/>
            <w:r>
              <w:t xml:space="preserve">需求类型</w:t>
            </w:r>
          </w:p>
        </w:tc>
      </w:tr>
      <w:tr>
        <w:trPr>
          <w:trHeight w:val="2220"/>
        </w:trPr>
        <w:tc>
          <w:tcPr>
            <w:tcW w:w="3671" w:type="dxa"/>
          </w:tcPr>
          <w:p>
            <w:pPr/>
            <w:r>
              <w:t xml:space="preserve">邮件、VIP道具批量审批</w:t>
            </w:r>
          </w:p>
        </w:tc>
        <w:tc>
          <w:tcPr>
            <w:tcW w:w="8783" w:type="dxa"/>
          </w:tcPr>
          <w:p>
            <w:pPr>
              <w:numPr>
                <w:ilvl w:val="0"/>
                <w:numId w:val="1"/>
              </w:numPr>
            </w:pPr>
            <w:r>
              <w:t xml:space="preserve">随着VIP业务扩展，客服目前每天发送100+批次VIP道具&amp;40+批次邮件，覆盖用户3000+，操作负荷量大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审批本身为同质化、重复性动作，适合执行批量操作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风险点：批量操作存在“误审核”可能，已同步客服</w:t>
            </w:r>
          </w:p>
          <w:p>
            <w:pPr>
              <w:ind/>
            </w:pPr>
            <w:r/>
          </w:p>
        </w:tc>
        <w:tc>
          <w:tcPr>
            <w:tcW w:w="2289" w:type="dxa"/>
          </w:tcPr>
          <w:p>
            <w:pPr/>
            <w:r>
              <w:t xml:space="preserve">已有功能优化</w:t>
            </w:r>
          </w:p>
        </w:tc>
      </w:tr>
      <w:tr>
        <w:trPr>
          <w:trHeight w:val="0"/>
        </w:trPr>
        <w:tc>
          <w:tcPr>
            <w:tcW w:w="3671" w:type="dxa"/>
          </w:tcPr>
          <w:p>
            <w:pPr/>
            <w:r>
              <w:t xml:space="preserve">专人专码增加礼包价值说明</w:t>
            </w:r>
          </w:p>
        </w:tc>
        <w:tc>
          <w:tcPr>
            <w:tcW w:w="8783" w:type="dxa"/>
          </w:tcPr>
          <w:p>
            <w:pPr>
              <w:numPr>
                <w:ilvl w:val="0"/>
                <w:numId w:val="2"/>
              </w:numPr>
            </w:pPr>
            <w:r>
              <w:t xml:space="preserve">10月份以来，专人专码已累计生成2.4万+条链接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玩家会咨询一线VIP客服礼包价值，目前主要是通过金流查看，查询不便，希望能新增礼包价值字段</w:t>
            </w:r>
          </w:p>
        </w:tc>
        <w:tc>
          <w:tcPr>
            <w:tcW w:w="2289" w:type="dxa"/>
          </w:tcPr>
          <w:p>
            <w:pPr/>
            <w:r>
              <w:t xml:space="preserve">已有功能优化</w:t>
            </w:r>
          </w:p>
        </w:tc>
      </w:tr>
    </w:tbl>
    <w:p>
      <w:bookmarkStart w:id="mkdvdbtdc5l9kpwbexw" w:name="mkdvdbtdc5l9kpwbexw"/>
      <w:pPr>
        <w:pStyle w:val="dingding-heading1"/>
        <w:spacing w:line="223.99999999999997"/>
      </w:pPr>
      <w:r>
        <w:rPr>
          <w:sz w:val="42"/>
          <w:b w:val="1"/>
        </w:rPr>
        <w:t xml:space="preserve">需求描述</w:t>
      </w:r>
      <w:bookmarkEnd w:id="mkdvdbtdc5l9kpwbexw"/>
    </w:p>
    <w:p>
      <w:pPr>
        <w:pStyle w:val="dingding_quote"/>
      </w:pPr>
      <w:r>
        <w:t xml:space="preserve">流程图、交互时序图、UI、配置描述、埋点设计</w:t>
      </w:r>
    </w:p>
    <w:p>
      <w:pPr>
        <w:numPr>
          <w:ilvl w:val="0"/>
          <w:numId w:val="3"/>
        </w:numPr>
        <w:spacing/>
      </w:pPr>
      <w:r>
        <w:t xml:space="preserve">邮件、VIP道具批量审批</w:t>
      </w:r>
    </w:p>
    <w:p>
      <w:pPr>
        <w:numPr>
          <w:ilvl w:val="1"/>
          <w:numId w:val="3"/>
        </w:numPr>
      </w:pPr>
      <w:r>
        <w:t xml:space="preserve">示意图</w:t>
      </w:r>
    </w:p>
    <w:tbl>
      <w:tblPr>
        <w:tblStyle w:val="TableGrid"/>
        <w:tblW w:w="0" w:type="auto"/>
      </w:tblPr>
      <w:tblGrid>
        <w:gridCol w:w="10457"/>
        <w:gridCol w:w="4287"/>
      </w:tblGrid>
      <w:tr>
        <w:trPr>
          <w:trHeight w:val="0"/>
        </w:trPr>
        <w:tc>
          <w:tcPr>
            <w:tcW w:w="10457" w:type="dxa"/>
            <w:vAlign w:val="top"/>
            <w:shd w:val="clear" w:color="auto"/>
          </w:tcPr>
          <w:p>
            <w:pPr>
              <w:ind w:left="480"/>
            </w:pPr>
            <w:r/>
            <w:r>
              <w:drawing>
                <wp:inline distT="0" distB="0" distL="0" distR="0">
                  <wp:extent cx="4953000" cy="1981200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49530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4287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2019300" cy="1836798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019300" cy="183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numPr>
          <w:ilvl w:val="1"/>
          <w:numId w:val="3"/>
        </w:numPr>
      </w:pPr>
      <w:r>
        <w:t xml:space="preserve">功能描述</w:t>
      </w:r>
    </w:p>
    <w:p>
      <w:pPr>
        <w:numPr>
          <w:ilvl w:val="2"/>
          <w:numId w:val="3"/>
        </w:numPr>
      </w:pPr>
      <w:r>
        <w:t xml:space="preserve">选择数据后，点击批量审核，弹出操作页面</w:t>
      </w:r>
    </w:p>
    <w:p>
      <w:pPr>
        <w:numPr>
          <w:ilvl w:val="2"/>
          <w:numId w:val="3"/>
        </w:numPr>
      </w:pPr>
      <w:r>
        <w:t xml:space="preserve">页面回显审批ID</w:t>
      </w:r>
    </w:p>
    <w:p>
      <w:pPr>
        <w:numPr>
          <w:ilvl w:val="2"/>
          <w:numId w:val="3"/>
        </w:numPr>
      </w:pPr>
      <w:r>
        <w:t xml:space="preserve">审核结果必选，提交后，执行批量审核操作</w:t>
      </w:r>
    </w:p>
    <w:p>
      <w:pPr>
        <w:ind/>
      </w:pPr>
      <w:r/>
    </w:p>
    <w:p>
      <w:pPr>
        <w:numPr>
          <w:ilvl w:val="0"/>
          <w:numId w:val="3"/>
        </w:numPr>
        <w:spacing/>
      </w:pPr>
      <w:r>
        <w:t xml:space="preserve">专人专码增加礼包价值</w:t>
      </w:r>
    </w:p>
    <w:p>
      <w:pPr>
        <w:numPr>
          <w:ilvl w:val="1"/>
          <w:numId w:val="4"/>
        </w:numPr>
      </w:pPr>
      <w:r>
        <w:t xml:space="preserve">示意图</w:t>
      </w:r>
    </w:p>
    <w:p>
      <w:pPr>
        <w:numPr>
          <w:ilvl w:val="2"/>
          <w:numId w:val="4"/>
        </w:numPr>
      </w:pPr>
      <w:r>
        <w:t xml:space="preserve">礼包内容配置</w:t>
      </w:r>
    </w:p>
    <w:p>
      <w:pPr>
        <w:numPr>
          <w:ilvl w:val="2"/>
          <w:numId w:val="4"/>
        </w:numPr>
      </w:pPr>
      <w:r/>
      <w:r>
        <w:drawing>
          <wp:inline distT="0" distB="0" distL="0" distR="0">
            <wp:extent cx="7124700" cy="5578624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55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left="1440"/>
      </w:pPr>
      <w:r/>
      <w:r>
        <w:drawing>
          <wp:inline distT="0" distB="0" distL="0" distR="0">
            <wp:extent cx="7124700" cy="2928861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292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6210300" cy="2355631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210300" cy="2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4"/>
        </w:numPr>
      </w:pPr>
      <w:r>
        <w:t xml:space="preserve">专人专码列表</w:t>
      </w:r>
    </w:p>
    <w:p>
      <w:pPr>
        <w:ind w:left="1440"/>
      </w:pPr>
      <w:r/>
      <w:r>
        <w:drawing>
          <wp:inline distT="0" distB="0" distL="0" distR="0">
            <wp:extent cx="6210300" cy="3724275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2103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1"/>
          <w:numId w:val="4"/>
        </w:numPr>
      </w:pPr>
      <w:r>
        <w:t xml:space="preserve">功能描述</w:t>
      </w:r>
    </w:p>
    <w:p>
      <w:pPr>
        <w:numPr>
          <w:ilvl w:val="2"/>
          <w:numId w:val="4"/>
        </w:numPr>
      </w:pPr>
      <w:r>
        <w:t xml:space="preserve">礼包内容配置、专人专码列表新增“礼包价值”字段</w:t>
      </w:r>
    </w:p>
    <w:p>
      <w:pPr>
        <w:numPr>
          <w:ilvl w:val="2"/>
          <w:numId w:val="4"/>
        </w:numPr>
      </w:pPr>
      <w:r>
        <w:t xml:space="preserve">礼包内容配置添加、修改入口，支持编辑礼包价值内容</w:t>
      </w:r>
    </w:p>
    <w:p>
      <w:pPr>
        <w:numPr>
          <w:ilvl w:val="2"/>
          <w:numId w:val="4"/>
        </w:numPr>
      </w:pPr>
      <w:r>
        <w:t xml:space="preserve">批量导入模版，新增礼包价值字段：</w:t>
      </w:r>
      <w:hyperlink r:id="rId10">
        <w:r>
          <w:rPr>
            <w:rStyle w:val="hyperlink"/>
          </w:rPr>
          <w:t xml:space="preserve">请至钉钉文档查看附件《专人专码礼包内容配置模板.xlsx》</w:t>
        </w:r>
      </w:hyperlink>
      <w:r/>
    </w:p>
    <w:p>
      <w:pPr>
        <w:ind/>
      </w:pPr>
      <w:r/>
    </w:p>
    <w:p>
      <w:bookmarkStart w:id="mkdvdgq6vhv8sy2z2qf" w:name="mkdvdgq6vhv8sy2z2qf"/>
      <w:pPr>
        <w:pStyle w:val="dingding-heading1"/>
        <w:spacing w:line="223.99999999999997"/>
      </w:pPr>
      <w:r>
        <w:rPr>
          <w:sz w:val="42"/>
          <w:b w:val="1"/>
        </w:rPr>
        <w:t xml:space="preserve">技术方案</w:t>
      </w:r>
      <w:bookmarkEnd w:id="mkdvdgq6vhv8sy2z2qf"/>
    </w:p>
    <w:p>
      <w:pPr>
        <w:pStyle w:val="dingding_quote"/>
      </w:pPr>
      <w:r>
        <w:t xml:space="preserve">实现逻辑、接口设计、参数设计、响应示例</w:t>
      </w:r>
    </w:p>
    <w:p>
      <w:bookmarkStart w:id="mkdvmmin9ttcsxjzizc" w:name="mkdvmmin9ttcsxjzizc"/>
      <w:pPr>
        <w:pStyle w:val="dingding-heading1"/>
        <w:spacing w:line="223.99999999999997"/>
      </w:pPr>
      <w:r>
        <w:rPr>
          <w:sz w:val="42"/>
          <w:b w:val="1"/>
        </w:rPr>
        <w:t xml:space="preserve">测试用例</w:t>
      </w:r>
      <w:bookmarkEnd w:id="mkdvmmin9ttcsxjzizc"/>
    </w:p>
    <w:p>
      <w:pPr>
        <w:pStyle w:val="dingding_quote"/>
      </w:pPr>
      <w:r>
        <w:t xml:space="preserve">技术自测、产品验收，需要覆盖完整逻辑</w:t>
      </w:r>
    </w:p>
    <w:p>
      <w:pPr>
        <w:pStyle w:val="dingding_quote"/>
      </w:pPr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26"/>
        <w:gridCol w:w="1216"/>
        <w:gridCol w:w="3183"/>
        <w:gridCol w:w="2732"/>
        <w:gridCol w:w="2342"/>
        <w:gridCol w:w="1080"/>
        <w:gridCol w:w="1260"/>
        <w:gridCol w:w="1801"/>
      </w:tblGrid>
      <w:tr>
        <w:trPr>
          <w:trHeight w:val="0"/>
        </w:trPr>
        <w:tc>
          <w:tcPr>
            <w:tcW w:w="1126" w:type="dxa"/>
            <w:vAlign w:val="top"/>
          </w:tcPr>
          <w:p>
            <w:pPr/>
            <w:r>
              <w:rPr>
                <w:b w:val="1"/>
              </w:rPr>
              <w:t xml:space="preserve">测试模块</w:t>
            </w:r>
          </w:p>
        </w:tc>
        <w:tc>
          <w:tcPr>
            <w:tcW w:w="1216" w:type="dxa"/>
            <w:vAlign w:val="top"/>
          </w:tcPr>
          <w:p>
            <w:pPr/>
            <w:r>
              <w:rPr>
                <w:b w:val="1"/>
              </w:rPr>
              <w:t xml:space="preserve">测试功能</w:t>
            </w:r>
          </w:p>
        </w:tc>
        <w:tc>
          <w:tcPr>
            <w:tcW w:w="3183" w:type="dxa"/>
            <w:vAlign w:val="top"/>
          </w:tcPr>
          <w:p>
            <w:pPr/>
            <w:r>
              <w:rPr>
                <w:b w:val="1"/>
              </w:rPr>
              <w:t xml:space="preserve">预期效果</w:t>
            </w:r>
          </w:p>
        </w:tc>
        <w:tc>
          <w:tcPr>
            <w:tcW w:w="2732" w:type="dxa"/>
            <w:vAlign w:val="top"/>
          </w:tcPr>
          <w:p>
            <w:pPr/>
            <w:r>
              <w:rPr>
                <w:b w:val="1"/>
              </w:rPr>
              <w:t xml:space="preserve">实际结果</w:t>
            </w:r>
          </w:p>
        </w:tc>
        <w:tc>
          <w:tcPr>
            <w:tcW w:w="2342" w:type="dxa"/>
          </w:tcPr>
          <w:p>
            <w:pPr/>
            <w:r>
              <w:rPr>
                <w:b w:val="1"/>
              </w:rPr>
              <w:t xml:space="preserve">备注</w:t>
            </w:r>
          </w:p>
        </w:tc>
        <w:tc>
          <w:tcPr>
            <w:tcW w:w="1080" w:type="dxa"/>
            <w:vAlign w:val="top"/>
          </w:tcPr>
          <w:p>
            <w:pPr/>
            <w:r>
              <w:rPr>
                <w:b w:val="1"/>
              </w:rPr>
              <w:t xml:space="preserve">是否通过</w:t>
            </w:r>
          </w:p>
        </w:tc>
        <w:tc>
          <w:tcPr>
            <w:tcW w:w="1260" w:type="dxa"/>
            <w:vAlign w:val="top"/>
          </w:tcPr>
          <w:p>
            <w:pPr/>
            <w:r>
              <w:rPr>
                <w:b w:val="1"/>
              </w:rPr>
              <w:t xml:space="preserve">截图</w:t>
            </w:r>
          </w:p>
        </w:tc>
        <w:tc>
          <w:tcPr>
            <w:tcW w:w="1801" w:type="dxa"/>
            <w:vAlign w:val="top"/>
          </w:tcPr>
          <w:p>
            <w:pPr/>
            <w:r>
              <w:rPr>
                <w:b w:val="1"/>
              </w:rPr>
              <w:t xml:space="preserve">是否修复</w:t>
            </w:r>
          </w:p>
        </w:tc>
      </w:tr>
      <w:tr>
        <w:trPr>
          <w:trHeight w:val="615"/>
        </w:trPr>
        <w:tc>
          <w:tcPr>
            <w:tcW w:w="1126" w:type="dxa"/>
            <w:vAlign w:val="top"/>
          </w:tcPr>
          <w:p>
            <w:pPr/>
            <w:r>
              <w:t xml:space="preserve">VIP道具</w:t>
            </w:r>
          </w:p>
        </w:tc>
        <w:tc>
          <w:tcPr>
            <w:tcW w:w="1216" w:type="dxa"/>
            <w:vAlign w:val="top"/>
          </w:tcPr>
          <w:p>
            <w:pPr/>
            <w:r>
              <w:t xml:space="preserve">批量审批</w:t>
            </w:r>
          </w:p>
        </w:tc>
        <w:tc>
          <w:tcPr>
            <w:tcW w:w="3183" w:type="dxa"/>
            <w:vAlign w:val="top"/>
          </w:tcPr>
          <w:p>
            <w:pPr/>
            <w:r>
              <w:t xml:space="preserve">单道具申请提交正常</w:t>
            </w:r>
          </w:p>
        </w:tc>
        <w:tc>
          <w:tcPr>
            <w:tcW w:w="2732" w:type="dxa"/>
            <w:vAlign w:val="top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  <w:vAlign w:val="top"/>
          </w:tcPr>
          <w:p>
            <w:pPr/>
            <w:r>
              <w:t xml:space="preserve">✅</w:t>
            </w:r>
          </w:p>
        </w:tc>
        <w:tc>
          <w:tcPr>
            <w:tcW w:w="1260" w:type="dxa"/>
            <w:vAlign w:val="top"/>
          </w:tcPr>
          <w:p>
            <w:pPr/>
            <w:r/>
          </w:p>
        </w:tc>
        <w:tc>
          <w:tcPr>
            <w:tcW w:w="1801" w:type="dxa"/>
            <w:vAlign w:val="top"/>
          </w:tcPr>
          <w:p>
            <w:pPr/>
            <w:r/>
          </w:p>
        </w:tc>
      </w:tr>
      <w:tr>
        <w:trPr>
          <w:trHeight w:val="615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多道具申请提交正常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  <w:vAlign w:val="top"/>
          </w:tcPr>
          <w:p>
            <w:pPr/>
            <w:r/>
          </w:p>
        </w:tc>
        <w:tc>
          <w:tcPr>
            <w:tcW w:w="1216" w:type="dxa"/>
            <w:vAlign w:val="top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单项审核正常</w:t>
            </w:r>
          </w:p>
        </w:tc>
        <w:tc>
          <w:tcPr>
            <w:tcW w:w="2732" w:type="dxa"/>
            <w:vAlign w:val="top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  <w:vAlign w:val="top"/>
          </w:tcPr>
          <w:p>
            <w:pPr/>
            <w:r>
              <w:t xml:space="preserve">✅</w:t>
            </w:r>
          </w:p>
        </w:tc>
        <w:tc>
          <w:tcPr>
            <w:tcW w:w="1260" w:type="dxa"/>
            <w:vAlign w:val="top"/>
          </w:tcPr>
          <w:p>
            <w:pPr/>
            <w:r/>
          </w:p>
        </w:tc>
        <w:tc>
          <w:tcPr>
            <w:tcW w:w="1801" w:type="dxa"/>
            <w:vAlign w:val="top"/>
          </w:tcPr>
          <w:p>
            <w:pPr/>
            <w:r/>
          </w:p>
        </w:tc>
      </w:tr>
      <w:tr>
        <w:trPr>
          <w:trHeight w:val="615"/>
        </w:trPr>
        <w:tc>
          <w:tcPr>
            <w:tcW w:w="1126" w:type="dxa"/>
            <w:vAlign w:val="top"/>
          </w:tcPr>
          <w:p>
            <w:pPr/>
            <w:r/>
          </w:p>
        </w:tc>
        <w:tc>
          <w:tcPr>
            <w:tcW w:w="1216" w:type="dxa"/>
            <w:vAlign w:val="top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批量审核正常</w:t>
            </w:r>
          </w:p>
        </w:tc>
        <w:tc>
          <w:tcPr>
            <w:tcW w:w="2732" w:type="dxa"/>
            <w:vAlign w:val="top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  <w:vAlign w:val="top"/>
          </w:tcPr>
          <w:p>
            <w:pPr/>
            <w:r>
              <w:t xml:space="preserve">✅</w:t>
            </w:r>
          </w:p>
        </w:tc>
        <w:tc>
          <w:tcPr>
            <w:tcW w:w="1260" w:type="dxa"/>
            <w:vAlign w:val="top"/>
          </w:tcPr>
          <w:p>
            <w:pPr/>
            <w:r/>
          </w:p>
        </w:tc>
        <w:tc>
          <w:tcPr>
            <w:tcW w:w="1801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  <w:vAlign w:val="top"/>
          </w:tcPr>
          <w:p>
            <w:pPr/>
            <w:r/>
          </w:p>
        </w:tc>
        <w:tc>
          <w:tcPr>
            <w:tcW w:w="1216" w:type="dxa"/>
            <w:vAlign w:val="top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除“审批中”状态外，其他状态不能重复审核</w:t>
            </w:r>
          </w:p>
        </w:tc>
        <w:tc>
          <w:tcPr>
            <w:tcW w:w="2732" w:type="dxa"/>
            <w:vAlign w:val="top"/>
          </w:tcPr>
          <w:p>
            <w:pPr/>
            <w:r>
              <w:t xml:space="preserve">所有状态目前都可以操作审批</w:t>
            </w:r>
          </w:p>
        </w:tc>
        <w:tc>
          <w:tcPr>
            <w:tcW w:w="2342" w:type="dxa"/>
          </w:tcPr>
          <w:p>
            <w:pPr/>
            <w:r>
              <w:t xml:space="preserve">客户端应不能选中，参考注销列表</w:t>
            </w:r>
          </w:p>
        </w:tc>
        <w:tc>
          <w:tcPr>
            <w:tcW w:w="1080" w:type="dxa"/>
            <w:vAlign w:val="top"/>
          </w:tcPr>
          <w:p>
            <w:pPr/>
            <w:r>
              <w:t xml:space="preserve">❌</w:t>
            </w:r>
          </w:p>
        </w:tc>
        <w:tc>
          <w:tcPr>
            <w:tcW w:w="1260" w:type="dxa"/>
            <w:vAlign w:val="top"/>
          </w:tcPr>
          <w:p>
            <w:pPr/>
            <w:r/>
            <w:r>
              <w:drawing>
                <wp:inline distT="0" distB="0" distL="0" distR="0">
                  <wp:extent cx="638175" cy="1251452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638175" cy="125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801" w:type="dxa"/>
            <w:vAlign w:val="top"/>
          </w:tcPr>
          <w:p>
            <w:pPr/>
            <w:r>
              <w:t xml:space="preserve">已修复</w:t>
            </w:r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申请人不能自行审批</w:t>
            </w:r>
          </w:p>
        </w:tc>
        <w:tc>
          <w:tcPr>
            <w:tcW w:w="2732" w:type="dxa"/>
          </w:tcPr>
          <w:p>
            <w:pPr/>
            <w:r>
              <w:t xml:space="preserve">申请人可以自行审批并提示“审批完成”</w:t>
            </w:r>
          </w:p>
        </w:tc>
        <w:tc>
          <w:tcPr>
            <w:tcW w:w="2342" w:type="dxa"/>
          </w:tcPr>
          <w:p>
            <w:pPr/>
            <w:r>
              <w:t xml:space="preserve">提交后，服务端应拦截并提示：操作失败，申请人不能自行审核</w:t>
            </w:r>
          </w:p>
        </w:tc>
        <w:tc>
          <w:tcPr>
            <w:tcW w:w="1080" w:type="dxa"/>
          </w:tcPr>
          <w:p>
            <w:pPr/>
            <w:r>
              <w:t xml:space="preserve">❌</w:t>
            </w:r>
          </w:p>
        </w:tc>
        <w:tc>
          <w:tcPr>
            <w:tcW w:w="1260" w:type="dxa"/>
          </w:tcPr>
          <w:p>
            <w:pPr/>
            <w:r/>
            <w:r>
              <w:drawing>
                <wp:inline distT="0" distB="0" distL="0" distR="0">
                  <wp:extent cx="638175" cy="417328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638175" cy="41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801" w:type="dxa"/>
          </w:tcPr>
          <w:p>
            <w:pPr/>
            <w:r>
              <w:t xml:space="preserve">已修复</w:t>
            </w:r>
          </w:p>
        </w:tc>
      </w:tr>
      <w:tr>
        <w:trPr>
          <w:trHeight w:val="0"/>
        </w:trPr>
        <w:tc>
          <w:tcPr>
            <w:tcW w:w="1126" w:type="dxa"/>
            <w:vAlign w:val="top"/>
          </w:tcPr>
          <w:p>
            <w:pPr/>
            <w:r>
              <w:t xml:space="preserve">邮件</w:t>
            </w:r>
          </w:p>
        </w:tc>
        <w:tc>
          <w:tcPr>
            <w:tcW w:w="1216" w:type="dxa"/>
            <w:vAlign w:val="top"/>
          </w:tcPr>
          <w:p>
            <w:pPr/>
            <w:r>
              <w:t xml:space="preserve">批量审批</w:t>
            </w:r>
          </w:p>
        </w:tc>
        <w:tc>
          <w:tcPr>
            <w:tcW w:w="3183" w:type="dxa"/>
            <w:vAlign w:val="top"/>
          </w:tcPr>
          <w:p>
            <w:pPr/>
            <w:r>
              <w:t xml:space="preserve">单个申请提交正常</w:t>
            </w:r>
          </w:p>
        </w:tc>
        <w:tc>
          <w:tcPr>
            <w:tcW w:w="2732" w:type="dxa"/>
            <w:vAlign w:val="top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  <w:vAlign w:val="top"/>
          </w:tcPr>
          <w:p>
            <w:pPr/>
            <w:r>
              <w:t xml:space="preserve">✅</w:t>
            </w:r>
          </w:p>
        </w:tc>
        <w:tc>
          <w:tcPr>
            <w:tcW w:w="1260" w:type="dxa"/>
            <w:vAlign w:val="top"/>
          </w:tcPr>
          <w:p>
            <w:pPr/>
            <w:r/>
          </w:p>
        </w:tc>
        <w:tc>
          <w:tcPr>
            <w:tcW w:w="1801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  <w:vAlign w:val="top"/>
          </w:tcPr>
          <w:p>
            <w:pPr/>
            <w:r/>
          </w:p>
        </w:tc>
        <w:tc>
          <w:tcPr>
            <w:tcW w:w="1216" w:type="dxa"/>
            <w:vAlign w:val="top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批量申请提交正常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  <w:vAlign w:val="top"/>
          </w:tcPr>
          <w:p>
            <w:pPr/>
            <w:r/>
          </w:p>
        </w:tc>
        <w:tc>
          <w:tcPr>
            <w:tcW w:w="1216" w:type="dxa"/>
            <w:vAlign w:val="top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单项审核正常</w:t>
            </w:r>
          </w:p>
        </w:tc>
        <w:tc>
          <w:tcPr>
            <w:tcW w:w="2732" w:type="dxa"/>
            <w:vAlign w:val="top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批量审核正常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  <w:vAlign w:val="top"/>
          </w:tcPr>
          <w:p>
            <w:pPr/>
            <w:r>
              <w:t xml:space="preserve">除“审批中”状态外，其他状态不能重复审核</w:t>
            </w:r>
          </w:p>
        </w:tc>
        <w:tc>
          <w:tcPr>
            <w:tcW w:w="2732" w:type="dxa"/>
          </w:tcPr>
          <w:p>
            <w:pPr/>
            <w:r>
              <w:t xml:space="preserve">所有状态目前都可以操作审批</w:t>
            </w:r>
          </w:p>
        </w:tc>
        <w:tc>
          <w:tcPr>
            <w:tcW w:w="2342" w:type="dxa"/>
          </w:tcPr>
          <w:p>
            <w:pPr/>
            <w:r>
              <w:t xml:space="preserve">客户端应不能选中</w:t>
            </w:r>
          </w:p>
        </w:tc>
        <w:tc>
          <w:tcPr>
            <w:tcW w:w="1080" w:type="dxa"/>
            <w:vAlign w:val="top"/>
          </w:tcPr>
          <w:p>
            <w:pPr/>
            <w:r>
              <w:t xml:space="preserve">❌</w:t>
            </w:r>
          </w:p>
        </w:tc>
        <w:tc>
          <w:tcPr>
            <w:tcW w:w="1260" w:type="dxa"/>
          </w:tcPr>
          <w:p>
            <w:pPr/>
            <w:r>
              <w:t xml:space="preserve">同上</w:t>
            </w:r>
          </w:p>
        </w:tc>
        <w:tc>
          <w:tcPr>
            <w:tcW w:w="1801" w:type="dxa"/>
            <w:vAlign w:val="top"/>
          </w:tcPr>
          <w:p>
            <w:pPr/>
            <w:r>
              <w:t xml:space="preserve">已修复</w:t>
            </w:r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申请人不能自行审批</w:t>
            </w:r>
          </w:p>
        </w:tc>
        <w:tc>
          <w:tcPr>
            <w:tcW w:w="2732" w:type="dxa"/>
          </w:tcPr>
          <w:p>
            <w:pPr/>
            <w:r>
              <w:t xml:space="preserve">申请人可以通过批量审核自行审批并提示“审批完成”</w:t>
            </w:r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  <w:vAlign w:val="top"/>
          </w:tcPr>
          <w:p>
            <w:pPr/>
            <w:r>
              <w:t xml:space="preserve">❌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  <w:vAlign w:val="top"/>
          </w:tcPr>
          <w:p>
            <w:pPr/>
            <w:r>
              <w:t xml:space="preserve">已修复</w:t>
            </w:r>
          </w:p>
        </w:tc>
      </w:tr>
      <w:tr>
        <w:trPr>
          <w:trHeight w:val="975"/>
        </w:trPr>
        <w:tc>
          <w:tcPr>
            <w:tcW w:w="1126" w:type="dxa"/>
          </w:tcPr>
          <w:p>
            <w:pPr/>
            <w:r>
              <w:t xml:space="preserve">专人专码</w:t>
            </w:r>
          </w:p>
        </w:tc>
        <w:tc>
          <w:tcPr>
            <w:tcW w:w="1216" w:type="dxa"/>
          </w:tcPr>
          <w:p>
            <w:pPr/>
            <w:r>
              <w:t xml:space="preserve">礼包价值</w:t>
            </w:r>
          </w:p>
        </w:tc>
        <w:tc>
          <w:tcPr>
            <w:tcW w:w="3183" w:type="dxa"/>
          </w:tcPr>
          <w:p>
            <w:pPr/>
            <w:r>
              <w:t xml:space="preserve">礼包内容配置，添加、修改入口新增礼包价值，编辑正常</w:t>
            </w:r>
          </w:p>
        </w:tc>
        <w:tc>
          <w:tcPr>
            <w:tcW w:w="2732" w:type="dxa"/>
          </w:tcPr>
          <w:p>
            <w:pPr/>
            <w:r>
              <w:t xml:space="preserve">符合</w:t>
            </w:r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导入文件更新，新增礼包价值，导入功能正常</w:t>
            </w:r>
          </w:p>
        </w:tc>
        <w:tc>
          <w:tcPr>
            <w:tcW w:w="2732" w:type="dxa"/>
          </w:tcPr>
          <w:p>
            <w:pPr/>
            <w:r>
              <w:t xml:space="preserve">符合</w:t>
            </w:r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专人专码列表，新增礼包价值，内容显示正常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615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专人专码配置正常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26" w:type="dxa"/>
          </w:tcPr>
          <w:p>
            <w:pPr/>
            <w:r/>
          </w:p>
        </w:tc>
        <w:tc>
          <w:tcPr>
            <w:tcW w:w="1216" w:type="dxa"/>
          </w:tcPr>
          <w:p>
            <w:pPr/>
            <w:r/>
          </w:p>
        </w:tc>
        <w:tc>
          <w:tcPr>
            <w:tcW w:w="3183" w:type="dxa"/>
          </w:tcPr>
          <w:p>
            <w:pPr/>
            <w:r>
              <w:t xml:space="preserve">专人专码生成正常</w:t>
            </w:r>
          </w:p>
        </w:tc>
        <w:tc>
          <w:tcPr>
            <w:tcW w:w="2732" w:type="dxa"/>
          </w:tcPr>
          <w:p>
            <w:pPr/>
            <w:r/>
          </w:p>
        </w:tc>
        <w:tc>
          <w:tcPr>
            <w:tcW w:w="2342" w:type="dxa"/>
          </w:tcPr>
          <w:p>
            <w:pPr/>
            <w:r/>
          </w:p>
        </w:tc>
        <w:tc>
          <w:tcPr>
            <w:tcW w:w="1080" w:type="dxa"/>
          </w:tcPr>
          <w:p>
            <w:pPr/>
            <w:r>
              <w:t xml:space="preserve">✅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801" w:type="dxa"/>
          </w:tcPr>
          <w:p>
            <w:pPr/>
            <w:r/>
          </w:p>
        </w:tc>
      </w:tr>
    </w:tbl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num w:numId="3">
    <w:abstractNumId w:val="2"/>
  </w:num>
  <w:num w:numId="1">
    <w:abstractNumId w:val="0"/>
  </w:num>
  <w:num w:numId="2">
    <w:abstractNumId w:val="1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hyperlink" Target="https://alidocs.dingtalk.com/i/nodes/YMyQA2dXW7972ggAIkMGQgOEJzlwrZgb?doc_type=wiki_doc&amp;iframeQuery=anchorId%3DX02mkexrqvq63k185fxuqf&amp;rnd=0.38254613199551124" TargetMode="External" />
  <Relationship Id="rId11" Type="http://schemas.openxmlformats.org/officeDocument/2006/relationships/image" Target="media/image7.png" />
  <Relationship Id="rId12" Type="http://schemas.openxmlformats.org/officeDocument/2006/relationships/image" Target="media/image8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