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right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Образец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работа 2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Нахождение решения системы линейных уравнений методом Гаусса.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Студент гр Б22-544                                 Иванов П.Р.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 Задание</w:t>
      </w:r>
    </w:p>
    <w:p>
      <w:pPr>
        <w:pStyle w:val="normal1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случайных систем размерности 8, 16 (или 10, 20)  с единичным решением найти это решение методом Гаусса с процедурой выбора ведущего элемента. Найти определитель матрицы, ее ранг и число перестановок при реализации метода. Посмотреть, что будет, если в процедуре выбора ведущего элемента отключить перестановку строк (набрать статистику, проведя 5 или 10 прогонов для обоих значений размерности системы). Сделать выводы.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 Теория</w:t>
      </w:r>
    </w:p>
    <w:p>
      <w:pPr>
        <w:pStyle w:val="normal1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методе Гаусса исходная система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, начиная с левого столбца, путем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>-го последовательного преобразования приводится к системе с верхней треугольной матрицей, Решение последней находится элементарно.</w:t>
      </w:r>
    </w:p>
    <w:p>
      <w:pPr>
        <w:pStyle w:val="normal1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Приведем формулы, по которым выполняется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-ое преобразование. К данному моменту текущая расширенная матрица исходной системы (к исходной матрице добавлен столбец, состоящий из компонентов вектора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>)  имеет следующей вид</w:t>
      </w:r>
    </w:p>
    <w:p>
      <w:pPr>
        <w:pStyle w:val="normal1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ind w:first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kk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kj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ik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ij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</m:m>
          </m:e>
        </m:d>
        <m:r>
          <m:t xml:space="preserve"> </m:t>
        </m:r>
        <m:m>
          <m:mr>
            <m:e/>
          </m:mr>
          <m:mr>
            <m:e/>
          </m:mr>
          <m:m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k</m:t>
              </m:r>
            </m:e>
          </m:mr>
          <m:mr>
            <m:e/>
          </m:mr>
          <m:m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i</m:t>
              </m:r>
            </m:e>
          </m:mr>
          <m:mr>
            <m:e/>
          </m:mr>
          <m:mr>
            <m:e/>
          </m:mr>
        </m:m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(1)</w:t>
      </w:r>
    </w:p>
    <w:p>
      <w:pPr>
        <w:pStyle w:val="normal1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-ом преобразовании в матрице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sup>
        </m:sSup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 необходимо обнулить все компоненты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–го нижнего подстолбца, начиная с компонента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1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Последнее осуществляется вычитанием из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-ой строки компонентов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-ой строки, умноженной на отношение 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ik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kk</m:t>
                </m:r>
              </m:sub>
            </m:sSub>
          </m:den>
        </m:f>
      </m:oMath>
    </w:p>
    <w:p>
      <w:pPr>
        <w:pStyle w:val="normal1"/>
        <w:ind w:first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ij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ij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ik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kj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kk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</m:t>
          </m:r>
          <m:r>
            <m:t xml:space="preserve"> 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)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,</m:t>
          </m:r>
          <m:r>
            <m:t xml:space="preserve"> 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1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Алгоритм этой операции представлен ниже</w:t>
      </w:r>
    </w:p>
    <w:p>
      <w:pPr>
        <w:pStyle w:val="normal1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m:oMath xmlns:m="http://schemas.openxmlformats.org/officeDocument/2006/math">
        <m:eqAr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for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  <m:e>
            <m:d>
              <m:dPr>
                <m:begChr m:val="{"/>
                <m:endChr m:val="}"/>
              </m:dPr>
              <m:e/>
              <m:e/>
              <m:e>
                <m: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buf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ik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kk</m:t>
                        </m:r>
                      </m:sub>
                    </m:sSub>
                  </m:den>
                </m:f>
              </m:e>
              <m:e/>
              <m:e>
                <m: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for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</m:e>
              <m:e/>
              <m:e>
                <m:r>
                  <m:t xml:space="preserve"> </m:t>
                </m:r>
                <m:d>
                  <m:dPr>
                    <m:begChr m:val="{"/>
                    <m:endChr m:val="}"/>
                  </m:dPr>
                  <m:e/>
                  <m:e/>
                  <m:e>
                    <m:r>
                      <m:t xml:space="preserve"> 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buf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kj</m:t>
                        </m:r>
                      </m:sub>
                    </m:sSub>
                  </m:e>
                  <m:e/>
                  <m:e>
                    <m:r>
                      <m:t xml:space="preserve"> </m:t>
                    </m:r>
                  </m:e>
                </m:d>
              </m:e>
              <m:e/>
            </m:d>
          </m:e>
        </m:eqAr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</w:rPr>
        <w:t>(2)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Поскольку нулевая нижняя подматрица в дальнейших операциях не используется, то нет необходимости ее явно обнулять. Исходя из этого, в алгоритме (2) внутренний цикл можно начинать со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Поместив последовательность операций (2) внутрь цикла по полному числу преобразований</w:t>
      </w:r>
    </w:p>
    <w:p>
      <w:pPr>
        <w:pStyle w:val="normal1"/>
        <w:ind w:first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for</m:t>
        </m:r>
        <m:r>
          <m:t xml:space="preserve">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  <m:d>
          <m:dPr>
            <m:begChr m:val="{"/>
            <m:endChr m:val="}"/>
          </m:dPr>
          <m:e>
            <m:r>
              <m:t xml:space="preserve"> 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алгоритм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22</m:t>
            </m:r>
            <m:r>
              <w:rPr>
                <w:rFonts w:ascii="Cambria Math" w:hAnsi="Cambria Math"/>
              </w:rPr>
              <m:t xml:space="preserve">)</m:t>
            </m:r>
            <m:r>
              <m:t xml:space="preserve"> </m:t>
            </m:r>
          </m:e>
        </m:d>
      </m:oMath>
      <w:r>
        <w:rPr>
          <w:rFonts w:eastAsia="Times New Roman" w:cs="Times New Roman" w:ascii="Times New Roman" w:hAnsi="Times New Roman"/>
          <w:sz w:val="24"/>
          <w:szCs w:val="24"/>
        </w:rPr>
        <w:t>,           (3)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получим алгоритм, приводящий исходную систему уравнений к эквивалентной системе с верхней треугольной матрицей.</w:t>
      </w:r>
    </w:p>
    <w:p>
      <w:pPr>
        <w:pStyle w:val="normal1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уменьшения влияния ошибок округления и повышения устойчивости работы алгоритма (3) в нем перед началом очередного преобразования необходимо выполнять процедуру «выбора ведущего элемента». </w:t>
      </w:r>
    </w:p>
    <w:p>
      <w:pPr>
        <w:pStyle w:val="normal1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Задачи этой процедуры: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из оставшихся нижних строк поставить на место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-ой строки строку с максимальным по модулю элементом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>-ом нижнем подстолбце;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проверить, что найденный максимальный элемент не равен нулю (матрица невырожденная);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осуществить подсчет определителя исходной матрицы</w:t>
      </w:r>
    </w:p>
    <w:p>
      <w:pPr>
        <w:pStyle w:val="normal1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Алгоритм процедуры выбора ведущего элемента приведен далее. Здесь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nul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- переменная для хранения машинного нуля, используемого для проверки действительных чисел на нуль (обычно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nul</m:t>
        </m:r>
        <m:r>
          <w:rPr>
            <w:rFonts w:ascii="Cambria Math" w:hAnsi="Cambria Math"/>
          </w:rPr>
          <m:t xml:space="preserve">≤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</m:sSup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 и может корректироваться пользователем для фильтрации уровня ошибок округления, возникающих в процессе вычисления). </w:t>
      </w:r>
    </w:p>
    <w:p>
      <w:pPr>
        <w:pStyle w:val="normal1"/>
        <w:jc w:val="center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eqAr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det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начальная</m:t>
              </m:r>
              <m:r>
                <m:t xml:space="preserve"> 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инициализация</m:t>
              </m:r>
              <m:r>
                <m:t xml:space="preserve"> 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перед</m:t>
              </m:r>
              <m:r>
                <m:t xml:space="preserve"> 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запуском</m:t>
              </m:r>
              <m:r>
                <m:t xml:space="preserve"> 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цикла</m:t>
              </m:r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)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m:t xml:space="preserve"> 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процедура</m:t>
              </m:r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−</m:t>
              </m:r>
            </m:e>
            <m:e>
              <m:r>
                <w:rPr>
                  <w:rFonts w:ascii="Cambria Math" w:hAnsi="Cambria Math"/>
                </w:rPr>
                <m:t xml:space="preserve">k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max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k</m:t>
              </m:r>
            </m:e>
            <m:e>
              <m:r>
                <w:rPr>
                  <w:rFonts w:ascii="Cambria Math" w:hAnsi="Cambria Math"/>
                </w:rPr>
                <m:t xml:space="preserve">A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max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|"/>
                  <m:endChr m:val="|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kk</m:t>
                      </m:r>
                    </m:sub>
                  </m:sSub>
                </m:e>
              </m:d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for</m:t>
              </m:r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e>
            <m:e>
              <m:d>
                <m:dPr>
                  <m:begChr m:val="{"/>
                  <m:endChr m:val="}"/>
                </m:dPr>
                <m:e/>
                <m:e/>
                <m:e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mod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|"/>
                      <m:endChr m:val="|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ik</m:t>
                          </m:r>
                        </m:sub>
                      </m:sSub>
                    </m:e>
                  </m:d>
                </m:e>
                <m:e/>
                <m:e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if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mod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max</m:t>
                  </m:r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then</m:t>
                  </m:r>
                  <m:r>
                    <m:t xml:space="preserve"> </m:t>
                  </m:r>
                </m:e>
                <m:e/>
                <m:e>
                  <m:r>
                    <m:t xml:space="preserve"> </m:t>
                  </m:r>
                  <m:d>
                    <m:dPr>
                      <m:begChr m:val="{"/>
                      <m:endChr m:val="}"/>
                    </m:dPr>
                    <m:e/>
                    <m:e/>
                    <m:e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max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mod</m:t>
                      </m:r>
                    </m:e>
                    <m:e/>
                    <m:e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max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e/>
                    <m:e>
                      <m:r>
                        <m:t xml:space="preserve"> </m:t>
                      </m:r>
                    </m:e>
                  </m:d>
                </m:e>
                <m:e/>
              </m:d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if</m:t>
              </m:r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max</m:t>
              </m:r>
              <m:r>
                <w:rPr>
                  <w:rFonts w:ascii="Cambria Math" w:hAnsi="Cambria Math"/>
                </w:rPr>
                <m:t xml:space="preserve">&lt;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nul</m:t>
              </m:r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≈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m:t xml:space="preserve"> 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then</m:t>
              </m:r>
            </m:e>
            <m:e>
              <m:d>
                <m:dPr>
                  <m:begChr m:val="{"/>
                  <m:endChr m:val="}"/>
                </m:dPr>
                <m:e/>
                <m:e/>
                <m:e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det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матрица</m:t>
                  </m:r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вырожденная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e/>
                <m:e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выход</m:t>
                  </m:r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из</m:t>
                  </m:r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процедуры</m:t>
                  </m:r>
                </m:e>
                <m:e/>
              </m:d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if</m:t>
              </m:r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max</m:t>
              </m:r>
              <m:r>
                <w:rPr>
                  <w:rFonts w:ascii="Cambria Math" w:hAnsi="Cambria Math"/>
                </w:rPr>
                <m:t xml:space="preserve">≠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m:t xml:space="preserve"> 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then</m:t>
              </m:r>
            </m:e>
            <m:e>
              <m:d>
                <m:dPr>
                  <m:begChr m:val="{"/>
                  <m:endChr m:val="}"/>
                </m:dPr>
                <m:e/>
                <m:e/>
                <m:e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for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переставляем</m:t>
                  </m:r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строки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e/>
                <m:e>
                  <m:r>
                    <m:t xml:space="preserve"> </m:t>
                  </m:r>
                  <m:d>
                    <m:dPr>
                      <m:begChr m:val="{"/>
                      <m:endChr m:val="}"/>
                    </m:dPr>
                    <m:e/>
                    <m:e/>
                    <m:e>
                      <m:r>
                        <m:t xml:space="preserve"> 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buf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kj</m:t>
                          </m:r>
                        </m:sub>
                      </m:sSub>
                    </m:e>
                    <m:e/>
                    <m:e>
                      <m:r>
                        <m:t xml:space="preserve"> 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kj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(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max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  <m: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</m:e>
                    <m:e/>
                    <m:e>
                      <m:r>
                        <m:t xml:space="preserve"> 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(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max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  <m: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buf</m:t>
                      </m:r>
                    </m:e>
                    <m:e/>
                    <m:e>
                      <m:r>
                        <m:t xml:space="preserve"> </m:t>
                      </m:r>
                    </m:e>
                  </m:d>
                </m:e>
                <m:e/>
                <m:e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det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det</m:t>
                  </m:r>
                </m:e>
                <m:e/>
              </m:d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det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det*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kk</m:t>
                  </m:r>
                </m:sub>
              </m:sSub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вычисление</m:t>
              </m:r>
              <m:r>
                <m:t xml:space="preserve"> 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определителя</m:t>
              </m:r>
              <m:r>
                <w:rPr>
                  <w:rFonts w:ascii="Cambria Math" w:hAnsi="Cambria Math"/>
                </w:rPr>
                <m:t xml:space="preserve">)</m:t>
              </m:r>
            </m:e>
          </m:eqArr>
        </m:oMath>
      </m:oMathPara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 Программа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/* Лабораторная работа 2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/* Метод Гаусса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kill(all);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/* находим максимальный элемент в подстолбце матрицы,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/* переставляем строки и вычисляем определитель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maxElem(A,k):=block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[buf,Amax,i,j,n],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n:length(A),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Amax:abs(A[k,k]),kmax:k,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fl=0 then(     /* ? - включина ли перестановка строк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for i:k+1 thru n do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buf:abs(A[i,k]),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if buf&gt;Amax then (Amax:buf,kmax:i)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Amax&lt;1.e-10 then return(det:0),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if kmax#k then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for j:k thru n+1 do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sz w:val="24"/>
          <w:szCs w:val="24"/>
        </w:rPr>
        <w:t>buf:A[k,j],A[k,j]:A[kmax,j],A[kmax,j]:buf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),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det:-det, m:m+1  /* подсчитываем число перестановок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),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det:det*A[k,k]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/* приводим матрицу к треугольному виду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conv_Matr(A):=block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[i,j,n,buf],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n:length(A),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rang:0,det:1,m:0, /* ранг, определитель, число перестановок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k thru n-1 do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maxElem(A,k),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if abs(det)=0 then return(det),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rang:rang+1,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for i:k+1 thru n do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buf:A[i,k]/A[k,k],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for j:k thru n+1 do A[i,j]:A[i,j]-buf*A[k,j]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),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if abs(A[n,n])&lt;1.e-10 then det:0 else (det:det*A[n,n],rang:rang+1)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/* находим решение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fine_X(A,x):=block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[i,j,n],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n:length(A),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x[n,1]:A[n,n+1]/A[n,n],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i:n-1 thru 1 step -1 do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x[i,1]:A[i,n+1],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for j:i+1 thru n do x[i,1]:x[i,1]-A[i,j]*x[j,1],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x[i,1]:x[i,1]/A[i,i]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   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);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/* главная программа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numer:true;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fpprintprec:5;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n:8;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fl:0;  /* использовать перестановку строк */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/* задаем систему случайным образом */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A:zeromatrix(n,n); b:zeromatrix(n,1);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x:zeromatrix(n,1);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i thru n do for j thru n do A[i,j]:0.5-random(1.0);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i thru n do for j thru n do b[i,1]:b[i,1]+A[i,j]; /*для единичного решения*/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A:addcol(A,b); /* строим расширенную матрицу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B:copy(A);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print("Исходная расширенная матрица = ",A);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conv_Matr(A);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print("Определитель матрицы = ",det);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print("Ранг матрицы = ",rang);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print("Число перестановок строк = ",m);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print("Приведенная расширенная матрица = ",A);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fine_X(A,x);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print("Решение системы = ",x);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/* отключаем ПВВЭ 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x1:copy(x);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print("Отключили перестановку строк");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A:copy(B); fl:1;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conv_Matr(A);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print("Определитель матрицы = ",det);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print("Ранг матрицы = ",rang);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print("Число перестановок строк = ",m);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print("Приведенная расширенная матрица = ",A);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fine_X(A,x);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print("Решение системы = ",x);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dx:zeromatrix(n,1);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i thru n do dx[i,1]:x1[i,1]-x[i,1];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print("Разность 2-х решений ",dx);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normKub:0;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i thru n do(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buf:abs(dx[i,1]),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if buf&gt;normKub then normKub:buf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);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print("Кубическая норма вектора разности решений ",normKub);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 Результаты</w:t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Для n=8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1656080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2019300"/>
            <wp:effectExtent l="0" t="0" r="0" b="0"/>
            <wp:docPr id="2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314700" cy="200025"/>
            <wp:effectExtent l="0" t="0" r="0" b="0"/>
            <wp:docPr id="3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676400" cy="200025"/>
            <wp:effectExtent l="0" t="0" r="0" b="0"/>
            <wp:docPr id="4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819400" cy="200025"/>
            <wp:effectExtent l="0" t="0" r="0" b="0"/>
            <wp:docPr id="5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2032000"/>
            <wp:effectExtent l="0" t="0" r="0" b="0"/>
            <wp:docPr id="6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90750" cy="2133600"/>
            <wp:effectExtent l="0" t="0" r="0" b="0"/>
            <wp:docPr id="7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Отключили перестановку строк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1656080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314700" cy="200025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676400" cy="200025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933700" cy="200025"/>
            <wp:effectExtent l="0" t="0" r="0" b="0"/>
            <wp:docPr id="11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2178050"/>
            <wp:effectExtent l="0" t="0" r="0" b="0"/>
            <wp:docPr id="12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90750" cy="213360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819400" cy="2466975"/>
            <wp:effectExtent l="0" t="0" r="0" b="0"/>
            <wp:docPr id="14" name="image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1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200650" cy="247650"/>
            <wp:effectExtent l="0" t="0" r="0" b="0"/>
            <wp:docPr id="15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Для n=16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6743700"/>
            <wp:effectExtent l="0" t="0" r="0" b="0"/>
            <wp:wrapSquare wrapText="largest"/>
            <wp:docPr id="1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96335"/>
            <wp:effectExtent l="0" t="0" r="0" b="0"/>
            <wp:wrapSquare wrapText="largest"/>
            <wp:docPr id="1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5. Выводы</w:t>
      </w:r>
    </w:p>
    <w:p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лабораторной работы был реализован алгоритм решения систем линейных уравнений методом Гаусса с возможностью выбора ведущего элемента.</w:t>
        <w:br/>
        <w:t>Программа была протестирована на случайных матрицах размерности n=8 и n=16, для которых гарантировано существовало единственное решение.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При включённой перестановке строк (с выбором ведущего элемента)</w:t>
      </w:r>
      <w:r>
        <w:rPr/>
        <w:t xml:space="preserve"> метод продемонстрировал устойчивую работу и корректное нахождение решения даже при малых числах на диагонали. Определитель и ранг матрицы вычислялись корректно, число перестановок строк зависело от структуры случайной матрицы.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При отключении перестановки строк</w:t>
      </w:r>
      <w:r>
        <w:rPr/>
        <w:t xml:space="preserve"> в ряде случаев наблюдались значительные расхождения в найденных решениях и уменьшение точности.</w:t>
        <w:br/>
        <w:t>Это объясняется тем, что без выбора ведущего элемента метод становится чувствителен к вырожденным и плохо обусловленным матрицам. В некоторых прогонах определитель обращался в нуль из-за накопления ошибок округления и деления на малые числа.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Сравнение решений</w:t>
      </w:r>
      <w:r>
        <w:rPr/>
        <w:t xml:space="preserve"> показало, что при наличии выбора ведущего элемента норма разности между решениями двух реализаций (с и без перестановки) остаётся в пределах машинной точности (∼10−6÷10−8) для устойчивых систем, но может возрастать до 10−2 и выше при вырождении матрицы.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Определитель и ранг</w:t>
      </w:r>
      <w:r>
        <w:rPr/>
        <w:t>: для обеих реализаций при невырожденных системах ранг совпадает с размерностью (rang=n), что подтверждает корректность построения расширенной матрицы и выполнения преобразований Гаусса.</w:t>
      </w:r>
    </w:p>
    <w:p>
      <w:pPr>
        <w:pStyle w:val="BodyText"/>
        <w:rPr/>
      </w:pPr>
      <w:r>
        <w:rPr/>
        <w:t>В целом, проведённый эксперимент подтвердил, что использование процедуры выбора ведущего элемента является обязательным условием устойчивости метода Гаусса при численном решении систем линейных уравнений. Без перестановки строк метод теряет точность и надёжность, особенно при увеличении размерности задачи.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Литература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Козин Р.Г.  Алгоритмы численных методов линейной алгебры и их программная реализация. М.: НИЯУ МИФИ, 2019. – 252 с.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…….</w:t>
      </w:r>
    </w:p>
    <w:p>
      <w:pPr>
        <w:pStyle w:val="normal1"/>
        <w:spacing w:before="0" w:after="2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6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1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7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13</Pages>
  <Words>880</Words>
  <Characters>5865</Characters>
  <CharactersWithSpaces>7015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2025-10-09T21:28:39Z</dcterms:modified>
  <cp:revision>1</cp:revision>
  <dc:subject/>
  <dc:title/>
</cp:coreProperties>
</file>