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Build specification</w:t>
      </w:r>
    </w:p>
    <w:p>
      <w:r>
        <w:rPr>
          <w:i/>
          <w:color w:val="6A6A6A"/>
          <w:sz w:val="20"/>
        </w:rPr>
        <w:t>Approved design translated into templates, blocks, fields and a re-baselined estimate.</w:t>
      </w:r>
    </w:p>
    <w:p>
      <w:pPr>
        <w:spacing w:after="280"/>
      </w:pPr>
      <w:r>
        <w:rPr>
          <w:b/>
          <w:color w:val="ED1B24"/>
          <w:sz w:val="16"/>
        </w:rPr>
        <w:t>Approval: build specification   |   Routes: standard / full   |   Version: v0.1 draft → v1.0 on approval → v1.1 after a logged change</w:t>
      </w:r>
    </w:p>
    <w:p>
      <w:pPr>
        <w:spacing w:before="280" w:after="80"/>
      </w:pPr>
      <w:r>
        <w:rPr>
          <w:b/>
          <w:color w:val="212333"/>
          <w:sz w:val="26"/>
        </w:rPr>
        <w:t>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Project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Prepared by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Approved design reference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Name and version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Approved sitemap reference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Name and version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Approved block inventory reference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Name and version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Stack and environments</w:t>
      </w:r>
    </w:p>
    <w:p>
      <w:pPr>
        <w:spacing w:after="160"/>
      </w:pPr>
      <w:r>
        <w:rPr>
          <w:i/>
          <w:color w:val="6A6A6A"/>
          <w:sz w:val="17"/>
        </w:rPr>
        <w:t>Record this properly. It is what allows a second developer to join without a briefing — which is the whole parallel-working argument.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WordPress stack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Theme / child theme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Block framework version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Plugins approved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No others without a logged decision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GitHub repository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Branching approach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e.g. main → staging → feature branches; no direct commits to main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Environments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Local, dev, staging, production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Page and template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Blocks used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Content owner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Block build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21233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1392"/>
            <w:shd w:val="clear" w:fill="212333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392"/>
            <w:shd w:val="clear" w:fill="212333"/>
          </w:tcPr>
          <w:p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1392"/>
            <w:shd w:val="clear" w:fill="212333"/>
          </w:tcPr>
          <w:p>
            <w:r>
              <w:rPr>
                <w:b/>
                <w:color w:val="FFFFFF"/>
                <w:sz w:val="18"/>
              </w:rPr>
              <w:t>PHP file</w:t>
            </w:r>
          </w:p>
        </w:tc>
        <w:tc>
          <w:tcPr>
            <w:tcW w:type="dxa" w:w="1392"/>
            <w:shd w:val="clear" w:fill="212333"/>
          </w:tcPr>
          <w:p>
            <w:r>
              <w:rPr>
                <w:b/>
                <w:color w:val="FFFFFF"/>
                <w:sz w:val="18"/>
              </w:rPr>
              <w:t>SCSS file</w:t>
            </w:r>
          </w:p>
        </w:tc>
        <w:tc>
          <w:tcPr>
            <w:tcW w:type="dxa" w:w="1392"/>
            <w:shd w:val="clear" w:fill="212333"/>
          </w:tcPr>
          <w:p>
            <w:r>
              <w:rPr>
                <w:b/>
                <w:color w:val="FFFFFF"/>
                <w:sz w:val="18"/>
              </w:rPr>
              <w:t>Library entry</w:t>
            </w:r>
          </w:p>
        </w:tc>
        <w:tc>
          <w:tcPr>
            <w:tcW w:type="dxa" w:w="1392"/>
            <w:shd w:val="clear" w:fill="212333"/>
          </w:tcPr>
          <w:p>
            <w:r>
              <w:rPr>
                <w:b/>
                <w:color w:val="FFFFFF"/>
                <w:sz w:val="18"/>
              </w:rPr>
              <w:t>Est. hrs</w:t>
            </w:r>
          </w:p>
        </w:tc>
      </w:tr>
      <w:tr>
        <w:tc>
          <w:tcPr>
            <w:tcW w:type="dxa" w:w="1392"/>
          </w:tcPr>
          <w:p>
            <w:r>
              <w:rPr>
                <w:i/>
                <w:color w:val="6A6A6A"/>
                <w:sz w:val="16"/>
              </w:rPr>
              <w:t>Hero</w:t>
            </w:r>
          </w:p>
        </w:tc>
        <w:tc>
          <w:tcPr>
            <w:tcW w:type="dxa" w:w="1392"/>
          </w:tcPr>
          <w:p>
            <w:r>
              <w:rPr>
                <w:i/>
                <w:color w:val="6A6A6A"/>
                <w:sz w:val="16"/>
              </w:rPr>
              <w:t>Adapt</w:t>
            </w:r>
          </w:p>
        </w:tc>
        <w:tc>
          <w:tcPr>
            <w:tcW w:type="dxa" w:w="1392"/>
          </w:tcPr>
          <w:p>
            <w:r>
              <w:rPr>
                <w:i/>
                <w:color w:val="6A6A6A"/>
                <w:sz w:val="16"/>
              </w:rPr>
              <w:t>heading, image, cta</w:t>
            </w:r>
          </w:p>
        </w:tc>
        <w:tc>
          <w:tcPr>
            <w:tcW w:type="dxa" w:w="1392"/>
          </w:tcPr>
          <w:p>
            <w:r>
              <w:rPr>
                <w:i/>
                <w:color w:val="6A6A6A"/>
                <w:sz w:val="16"/>
              </w:rPr>
              <w:t>blocks/hero/</w:t>
            </w:r>
          </w:p>
        </w:tc>
        <w:tc>
          <w:tcPr>
            <w:tcW w:type="dxa" w:w="1392"/>
          </w:tcPr>
          <w:p>
            <w:r>
              <w:rPr>
                <w:i/>
                <w:color w:val="6A6A6A"/>
                <w:sz w:val="16"/>
              </w:rPr>
              <w:t>theme/_hero.scss</w:t>
            </w:r>
          </w:p>
        </w:tc>
        <w:tc>
          <w:tcPr>
            <w:tcW w:type="dxa" w:w="1392"/>
          </w:tcPr>
          <w:p>
            <w:r>
              <w:rPr>
                <w:i/>
                <w:color w:val="6A6A6A"/>
                <w:sz w:val="16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i/>
                <w:color w:val="6A6A6A"/>
                <w:sz w:val="16"/>
              </w:rPr>
              <w:t>5</w:t>
            </w:r>
          </w:p>
        </w:tc>
      </w:tr>
      <w:tr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  <w:tr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  <w:tc>
          <w:tcPr>
            <w:tcW w:type="dxa" w:w="1392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field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Location rule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Content entry plan</w:t>
      </w:r>
    </w:p>
    <w:p>
      <w:pPr>
        <w:spacing w:after="160"/>
      </w:pPr>
      <w:r>
        <w:rPr>
          <w:i/>
          <w:color w:val="6A6A6A"/>
          <w:sz w:val="17"/>
        </w:rPr>
        <w:t>Content entry is real effort and is routinely left out of estimates. Populating thirty pages is a cost — estimate it explicitly.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Page group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Pages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Content status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Image status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Est. hrs</w:t>
            </w:r>
          </w:p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Estimate re-baseline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Keep the variance.  </w:t>
            </w:r>
            <w:r>
              <w:rPr>
                <w:color w:val="404042"/>
                <w:sz w:val="18"/>
              </w:rPr>
              <w:t>The difference between the Discovery baseline and this re-baseline is one of the most useful numbers the process produces. Project after project it shows where estimating is systematically wrong — and that is worth more than any single estimate.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Discovery baseline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Build spec re-baseline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Variance</w:t>
            </w:r>
          </w:p>
        </w:tc>
      </w:tr>
      <w:tr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Core process steps</w:t>
            </w:r>
          </w:p>
        </w:tc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167 hrs</w:t>
            </w:r>
          </w:p>
        </w:tc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171 hrs</w:t>
            </w:r>
          </w:p>
        </w:tc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+4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Access and credentials</w:t>
      </w:r>
    </w:p>
    <w:p>
      <w:pPr>
        <w:spacing w:after="160"/>
      </w:pPr>
      <w:r>
        <w:rPr>
          <w:i/>
          <w:color w:val="6A6A6A"/>
          <w:sz w:val="17"/>
        </w:rPr>
        <w:t>Verify each one works. "They sent a password" is not access, and a dead credential found in launch week is a launch delay.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Needed for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Client owner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Requested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Received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Verified</w:t>
            </w:r>
          </w:p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Technical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QA focus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Support matrix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From the discovery approval — QA tests against this and nothing beyond it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Accessibility target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From the discovery approval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Forms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Navigation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Performance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SEO basics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Analytics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Redirects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Test against the real old URL list from the audit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