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ED1B24"/>
          <w:sz w:val="16"/>
        </w:rPr>
        <w:t>CHILLIBYTE</w:t>
      </w:r>
      <w:r>
        <w:rPr>
          <w:b/>
          <w:color w:val="6A6A6A"/>
          <w:sz w:val="16"/>
        </w:rPr>
        <w:t xml:space="preserve">  ·  WEBSITE DELIVERY PROCESS</w:t>
      </w:r>
    </w:p>
    <w:p>
      <w:pPr>
        <w:spacing w:after="40"/>
      </w:pPr>
      <w:r>
        <w:rPr>
          <w:b/>
          <w:color w:val="212333"/>
          <w:sz w:val="44"/>
        </w:rPr>
        <w:t>Client approval note</w:t>
      </w:r>
    </w:p>
    <w:p>
      <w:r>
        <w:rPr>
          <w:i/>
          <w:color w:val="6A6A6A"/>
          <w:sz w:val="20"/>
        </w:rPr>
        <w:t>The client-facing version. Sanitised, short, and specific about what is being agreed.</w:t>
      </w:r>
    </w:p>
    <w:p>
      <w:pPr>
        <w:spacing w:after="280"/>
      </w:pPr>
      <w:r>
        <w:rPr>
          <w:b/>
          <w:color w:val="ED1B24"/>
          <w:sz w:val="16"/>
        </w:rPr>
        <w:t>Client approvals   |   Routes: light / standard / full   |   Version: v0.1 draft → v1.0 on approval → v1.1 after a logged change</w:t>
      </w:r>
    </w:p>
    <w:p>
      <w:pPr>
        <w:spacing w:before="280" w:after="80"/>
      </w:pPr>
      <w:r>
        <w:rPr>
          <w:b/>
          <w:color w:val="212333"/>
          <w:sz w:val="26"/>
        </w:rPr>
        <w:t>Approval</w:t>
      </w:r>
    </w:p>
    <w:p>
      <w:r>
        <w:rPr>
          <w:sz w:val="21"/>
        </w:rPr>
        <w:t>The following are approved as the basis for the next stage of work:</w:t>
      </w:r>
    </w:p>
    <w:p>
      <w:pPr>
        <w:pStyle w:val="ListBullet"/>
      </w:pPr>
      <w:r>
        <w:rPr>
          <w:sz w:val="20"/>
        </w:rPr>
        <w:t>[Artefact name and version]</w:t>
      </w:r>
    </w:p>
    <w:p>
      <w:pPr>
        <w:pStyle w:val="ListBullet"/>
      </w:pPr>
      <w:r>
        <w:rPr>
          <w:sz w:val="20"/>
        </w:rPr>
        <w:t>[Artefact name and version]</w:t>
      </w:r>
    </w:p>
    <w:p>
      <w:pPr>
        <w:pStyle w:val="ListBullet"/>
      </w:pPr>
      <w:r>
        <w:rPr>
          <w:sz w:val="20"/>
        </w:rPr>
        <w:t>[Artefact name and version]</w:t>
      </w:r>
    </w:p>
    <w:p>
      <w:r>
        <w:rPr>
          <w:sz w:val="21"/>
        </w:rPr>
        <w:t>This approval confirms the agreed direction is suitable for the next project phase. Any later change to these approved items can still be considered, but will be reviewed for its impact on structure, content, design, build and timing — and where it adds work, we will agree that with you before proceeding.</w:t>
      </w:r>
    </w:p>
    <w:p/>
    <w:tbl>
      <w:tblPr>
        <w:tblStyle w:val="TableGrid"/>
        <w:tblW w:type="auto" w:w="0"/>
        <w:jc w:val="left"/>
        <w:tblLook w:firstColumn="1" w:firstRow="1" w:lastColumn="0" w:lastRow="0" w:noHBand="0" w:noVBand="1" w:val="04A0"/>
      </w:tblPr>
      <w:tblGrid>
        <w:gridCol w:w="4873"/>
        <w:gridCol w:w="4873"/>
      </w:tblGrid>
      <w:tr>
        <w:tc>
          <w:tcPr>
            <w:tcW w:type="dxa" w:w="3061"/>
            <w:shd w:val="clear" w:fill="F5F5F5"/>
          </w:tcPr>
          <w:p>
            <w:r>
              <w:rPr>
                <w:b/>
                <w:color w:val="212333"/>
                <w:sz w:val="19"/>
              </w:rPr>
              <w:t>Approved by</w:t>
            </w:r>
          </w:p>
        </w:tc>
        <w:tc>
          <w:tcPr>
            <w:tcW w:type="dxa" w:w="4873"/>
          </w:tcPr>
          <w:p/>
        </w:tc>
      </w:tr>
      <w:tr>
        <w:tc>
          <w:tcPr>
            <w:tcW w:type="dxa" w:w="3061"/>
            <w:shd w:val="clear" w:fill="F5F5F5"/>
          </w:tcPr>
          <w:p>
            <w:r>
              <w:rPr>
                <w:b/>
                <w:color w:val="212333"/>
                <w:sz w:val="19"/>
              </w:rPr>
              <w:t>Role</w:t>
            </w:r>
          </w:p>
        </w:tc>
        <w:tc>
          <w:tcPr>
            <w:tcW w:type="dxa" w:w="4873"/>
          </w:tcPr>
          <w:p/>
        </w:tc>
      </w:tr>
      <w:tr>
        <w:tc>
          <w:tcPr>
            <w:tcW w:type="dxa" w:w="3061"/>
            <w:shd w:val="clear" w:fill="F5F5F5"/>
          </w:tcPr>
          <w:p>
            <w:r>
              <w:rPr>
                <w:b/>
                <w:color w:val="212333"/>
                <w:sz w:val="19"/>
              </w:rPr>
              <w:t>Date</w:t>
            </w:r>
          </w:p>
        </w:tc>
        <w:tc>
          <w:tcPr>
            <w:tcW w:type="dxa" w:w="4873"/>
          </w:tcPr>
          <w:p/>
        </w:tc>
      </w:tr>
      <w:tr>
        <w:tc>
          <w:tcPr>
            <w:tcW w:type="dxa" w:w="3061"/>
            <w:shd w:val="clear" w:fill="F5F5F5"/>
          </w:tcPr>
          <w:p>
            <w:r>
              <w:rPr>
                <w:b/>
                <w:color w:val="212333"/>
                <w:sz w:val="19"/>
              </w:rPr>
              <w:t>Basecamp reference</w:t>
            </w:r>
          </w:p>
        </w:tc>
        <w:tc>
          <w:tcPr>
            <w:tcW w:type="dxa" w:w="4873"/>
          </w:tcPr>
          <w:p/>
        </w:tc>
      </w:tr>
    </w:tbl>
    <w:p/>
    <w:p>
      <w:pPr>
        <w:spacing w:before="280" w:after="80"/>
      </w:pPr>
      <w:r>
        <w:rPr>
          <w:b/>
          <w:color w:val="212333"/>
          <w:sz w:val="26"/>
        </w:rPr>
        <w:t>What happens next</w:t>
      </w:r>
    </w:p>
    <w:tbl>
      <w:tblPr>
        <w:tblStyle w:val="TableGrid"/>
        <w:tblW w:type="auto" w:w="0"/>
        <w:jc w:val="left"/>
        <w:tblLook w:firstColumn="1" w:firstRow="1" w:lastColumn="0" w:lastRow="0" w:noHBand="0" w:noVBand="1" w:val="04A0"/>
      </w:tblPr>
      <w:tblGrid>
        <w:gridCol w:w="4873"/>
        <w:gridCol w:w="4873"/>
      </w:tblGrid>
      <w:tr>
        <w:tc>
          <w:tcPr>
            <w:tcW w:type="dxa" w:w="3061"/>
            <w:shd w:val="clear" w:fill="F5F5F5"/>
          </w:tcPr>
          <w:p>
            <w:r>
              <w:rPr>
                <w:b/>
                <w:color w:val="212333"/>
                <w:sz w:val="19"/>
              </w:rPr>
              <w:t>Now starting</w:t>
            </w:r>
          </w:p>
        </w:tc>
        <w:tc>
          <w:tcPr>
            <w:tcW w:type="dxa" w:w="4873"/>
          </w:tcPr>
          <w:p/>
        </w:tc>
      </w:tr>
      <w:tr>
        <w:tc>
          <w:tcPr>
            <w:tcW w:type="dxa" w:w="3061"/>
            <w:shd w:val="clear" w:fill="F5F5F5"/>
          </w:tcPr>
          <w:p>
            <w:r>
              <w:rPr>
                <w:b/>
                <w:color w:val="212333"/>
                <w:sz w:val="19"/>
              </w:rPr>
              <w:t>We need from you</w:t>
            </w:r>
          </w:p>
        </w:tc>
        <w:tc>
          <w:tcPr>
            <w:tcW w:type="dxa" w:w="4873"/>
          </w:tcPr>
          <w:p>
            <w:r>
              <w:rPr>
                <w:i/>
                <w:color w:val="6A6A6A"/>
                <w:sz w:val="17"/>
              </w:rPr>
              <w:t>What, from whom, by when</w:t>
            </w:r>
          </w:p>
        </w:tc>
      </w:tr>
      <w:tr>
        <w:tc>
          <w:tcPr>
            <w:tcW w:type="dxa" w:w="3061"/>
            <w:shd w:val="clear" w:fill="F5F5F5"/>
          </w:tcPr>
          <w:p>
            <w:r>
              <w:rPr>
                <w:b/>
                <w:color w:val="212333"/>
                <w:sz w:val="19"/>
              </w:rPr>
              <w:t>Next approval point</w:t>
            </w:r>
          </w:p>
        </w:tc>
        <w:tc>
          <w:tcPr>
            <w:tcW w:type="dxa" w:w="4873"/>
          </w:tcPr>
          <w:p>
            <w:r>
              <w:rPr>
                <w:i/>
                <w:color w:val="6A6A6A"/>
                <w:sz w:val="17"/>
              </w:rPr>
              <w:t>Which gate, and roughly when</w:t>
            </w:r>
          </w:p>
        </w:tc>
      </w:tr>
    </w:tbl>
    <w:p/>
    <w:tbl>
      <w:tblPr>
        <w:tblStyle w:val="TableGrid"/>
        <w:tblW w:type="auto" w:w="0"/>
        <w:tblLook w:firstColumn="1" w:firstRow="1" w:lastColumn="0" w:lastRow="0" w:noHBand="0" w:noVBand="1" w:val="04A0"/>
      </w:tblPr>
      <w:tblGrid>
        <w:gridCol w:w="9746"/>
      </w:tblGrid>
      <w:tr>
        <w:tc>
          <w:tcPr>
            <w:tcW w:type="dxa" w:w="9746"/>
            <w:shd w:val="clear" w:fill="EDF4E3"/>
          </w:tcPr>
          <w:p>
            <w:r>
              <w:rPr>
                <w:b/>
                <w:color w:val="212333"/>
                <w:sz w:val="18"/>
              </w:rPr>
              <w:t xml:space="preserve">Note on tone.  </w:t>
            </w:r>
            <w:r>
              <w:rPr>
                <w:color w:val="404042"/>
                <w:sz w:val="18"/>
              </w:rPr>
              <w:t>The final sentence of the approval paragraph is doing commercial work. It is phrased as collaboration rather than as a warning, but it establishes that additions are discussed and agreed rather than assumed.</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4040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