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D1B24"/>
          <w:sz w:val="16"/>
        </w:rPr>
        <w:t>CHILLIBYTE</w:t>
      </w:r>
      <w:r>
        <w:rPr>
          <w:b/>
          <w:color w:val="6A6A6A"/>
          <w:sz w:val="16"/>
        </w:rPr>
        <w:t xml:space="preserve">  ·  WEBSITE DELIVERY PROCESS</w:t>
      </w:r>
    </w:p>
    <w:p>
      <w:pPr>
        <w:spacing w:after="40"/>
      </w:pPr>
      <w:r>
        <w:rPr>
          <w:b/>
          <w:color w:val="212333"/>
          <w:sz w:val="44"/>
        </w:rPr>
        <w:t>Discovery summary</w:t>
      </w:r>
    </w:p>
    <w:p>
      <w:r>
        <w:rPr>
          <w:i/>
          <w:color w:val="6A6A6A"/>
          <w:sz w:val="20"/>
        </w:rPr>
        <w:t>The foundation artefact. Every later document traces back to an answer in here.</w:t>
      </w:r>
    </w:p>
    <w:p>
      <w:pPr>
        <w:spacing w:after="280"/>
      </w:pPr>
      <w:r>
        <w:rPr>
          <w:b/>
          <w:color w:val="ED1B24"/>
          <w:sz w:val="16"/>
        </w:rPr>
        <w:t>Approval: discovery   |   Routes: light / standard / full   |   Version: v0.1 draft → v1.0 on approval → v1.1 after a logged change</w:t>
      </w:r>
    </w:p>
    <w:p>
      <w:pPr>
        <w:spacing w:before="280" w:after="80"/>
      </w:pPr>
      <w:r>
        <w:rPr>
          <w:b/>
          <w:color w:val="212333"/>
          <w:sz w:val="26"/>
        </w:rPr>
        <w:t>Project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Client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Project name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Discovery date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Discovery lead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Account manager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Client stakeholder representative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Project route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light / standard / full — record the reason in the decision log as DEC-001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Business context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What the organisation does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Why the website is being created or changed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Current website position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Commercial or operational context</w:t>
            </w:r>
          </w:p>
        </w:tc>
        <w:tc>
          <w:tcPr>
            <w:tcW w:type="dxa" w:w="4873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Primary goals</w:t>
      </w:r>
    </w:p>
    <w:p>
      <w:pPr>
        <w:spacing w:after="160"/>
      </w:pPr>
      <w:r>
        <w:rPr>
          <w:i/>
          <w:color w:val="6A6A6A"/>
          <w:sz w:val="17"/>
        </w:rPr>
        <w:t>State goals so they can be judged met or not met. "Look more modern" is not a goal; "generate enquiries from specifying engineers rather than general procurement" 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212333"/>
          </w:tcPr>
          <w:p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4873"/>
            <w:shd w:val="clear" w:fill="212333"/>
          </w:tcPr>
          <w:p>
            <w:r>
              <w:rPr>
                <w:b/>
                <w:color w:val="FFFFFF"/>
                <w:sz w:val="18"/>
              </w:rPr>
              <w:t>How we would know it worked</w:t>
            </w:r>
          </w:p>
        </w:tc>
      </w:tr>
      <w:tr>
        <w:tc>
          <w:tcPr>
            <w:tcW w:type="dxa" w:w="4873"/>
          </w:tcPr>
          <w:p/>
        </w:tc>
        <w:tc>
          <w:tcPr>
            <w:tcW w:type="dxa" w:w="4873"/>
          </w:tcPr>
          <w:p/>
        </w:tc>
      </w:tr>
      <w:tr>
        <w:tc>
          <w:tcPr>
            <w:tcW w:type="dxa" w:w="4873"/>
          </w:tcPr>
          <w:p/>
        </w:tc>
        <w:tc>
          <w:tcPr>
            <w:tcW w:type="dxa" w:w="4873"/>
          </w:tcPr>
          <w:p/>
        </w:tc>
      </w:tr>
      <w:tr>
        <w:tc>
          <w:tcPr>
            <w:tcW w:type="dxa" w:w="4873"/>
          </w:tcPr>
          <w:p/>
        </w:tc>
        <w:tc>
          <w:tcPr>
            <w:tcW w:type="dxa" w:w="4873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Target audiences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Needs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Concerns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Likely conversion route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Core services, products or offers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Service / offer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Required page or section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Stakeholder concerns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Raised by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Impact on structure, content, design or build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Content ownership</w:t>
      </w:r>
    </w:p>
    <w:p>
      <w:pPr>
        <w:spacing w:after="160"/>
      </w:pPr>
      <w:r>
        <w:rPr>
          <w:i/>
          <w:color w:val="6A6A6A"/>
          <w:sz w:val="17"/>
        </w:rPr>
        <w:t>Assign an owner per section, not "the client". Vague content ownership is the most reliable predictor of a late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Owner (named person)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Brand and design inputs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Existing brand assets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Competitors or references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Visual preferences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Visual dislikes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Ask directly. The "avoid" list saves more time than the inspiration list.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Photography or image assets</w:t>
            </w:r>
          </w:p>
        </w:tc>
        <w:tc>
          <w:tcPr>
            <w:tcW w:type="dxa" w:w="4873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Technical context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Existing WordPress site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Hosting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Domains and DNS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Who actually controls the registrar? It is rarely who you expect.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Forms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Where do submissions go, and who reads them?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Integrations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Analytics / search tools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Multilingual requirements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Known plugin requirements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Known technical risks</w:t>
            </w:r>
          </w:p>
        </w:tc>
        <w:tc>
          <w:tcPr>
            <w:tcW w:type="dxa" w:w="4873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Guardrails — agreed at the discovery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DF4E3"/>
          </w:tcPr>
          <w:p>
            <w:r>
              <w:rPr>
                <w:b/>
                <w:color w:val="212333"/>
                <w:sz w:val="18"/>
              </w:rPr>
              <w:t xml:space="preserve">These take minutes now and are close to impossible to impose later.  </w:t>
            </w:r>
            <w:r>
              <w:rPr>
                <w:color w:val="404042"/>
                <w:sz w:val="18"/>
              </w:rPr>
              <w:t>Do not skip this section on small projects. It is where the process pays for itself.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Named client approver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One person. Others may comment; only this person approves.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Approval response window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e.g. 5 working days. Silence past it pauses the project — it does not mean yes.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Browser and device support matrix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Which browsers, devices and breakpoints. This is what makes QA finishable.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Accessibility target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e.g. WCAG 2.2 AA. "Accessible" is not a testable statement.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Revision allowance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Carried forward from the studio brief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Estimate baseline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From the spec builder. Core hours + contingency. The yardstick for all later change.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Impact if wrong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Validation required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212333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949"/>
            <w:shd w:val="clear" w:fill="212333"/>
          </w:tcPr>
          <w:p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1949"/>
            <w:shd w:val="clear" w:fill="212333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949"/>
            <w:shd w:val="clear" w:fill="212333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type="dxa" w:w="1949"/>
            <w:shd w:val="clear" w:fill="212333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Exclusions</w:t>
      </w:r>
    </w:p>
    <w:p>
      <w:pPr>
        <w:spacing w:after="160"/>
      </w:pPr>
      <w:r>
        <w:rPr>
          <w:i/>
          <w:color w:val="6A6A6A"/>
          <w:sz w:val="17"/>
        </w:rPr>
        <w:t>Carry forward from the studio brief and add anything discovery has ruled out. The spec builder generates a client-ready version of this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Reason excluded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Future phase candidate?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Immediate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Basecamp reference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color w:val="404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