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Variation order</w:t>
      </w:r>
    </w:p>
    <w:p>
      <w:r>
        <w:rPr>
          <w:i/>
          <w:color w:val="6A6A6A"/>
          <w:sz w:val="20"/>
        </w:rPr>
        <w:t>Turns an accepted change into agreed, billable work — before the work happens.</w:t>
      </w:r>
    </w:p>
    <w:p>
      <w:pPr>
        <w:spacing w:after="280"/>
      </w:pPr>
      <w:r>
        <w:rPr>
          <w:b/>
          <w:color w:val="ED1B24"/>
          <w:sz w:val="16"/>
        </w:rPr>
        <w:t>Raised from the change log   |   Routes: light / standard / full   |   Version: v0.1 draft → v1.0 on approval → v1.1 after a logged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BE7E8"/>
          </w:tcPr>
          <w:p>
            <w:r>
              <w:rPr>
                <w:b/>
                <w:color w:val="212333"/>
                <w:sz w:val="18"/>
              </w:rPr>
              <w:t xml:space="preserve">Why this exists.  </w:t>
            </w:r>
            <w:r>
              <w:rPr>
                <w:color w:val="404042"/>
                <w:sz w:val="18"/>
              </w:rPr>
              <w:t>The change log recorded what changed and whether it was accepted, but carried no effort figure and no route to a charge. A change process that cannot raise a charge simply converts scope creep into unpaid work more politely.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Variation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Variation reference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VAR-000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 raised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Raised by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Related change log entry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CHG-000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Related approved artefact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this changes, and at which version it was approved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Approval affected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What is being requested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Description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Reason given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Classification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Correction (free) / preference (within allowance) / new scope (this form)</w:t>
            </w:r>
          </w:p>
        </w:tc>
      </w:tr>
    </w:tbl>
    <w:p/>
    <w:p>
      <w:pPr>
        <w:spacing w:after="160"/>
      </w:pPr>
      <w:r>
        <w:rPr>
          <w:i/>
          <w:color w:val="6A6A6A"/>
          <w:sz w:val="17"/>
        </w:rPr>
        <w:t>Only new scope reaches this document. Corrections are fixed at no charge; preferences are absorbed within the revision allowance. Classifying honestly is what makes the conversation reasonable rather than defensive.</w:t>
      </w:r>
    </w:p>
    <w:p>
      <w:pPr>
        <w:spacing w:before="280" w:after="80"/>
      </w:pPr>
      <w:r>
        <w:rPr>
          <w:b/>
          <w:color w:val="212333"/>
          <w:sz w:val="26"/>
        </w:rP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249"/>
          </w:tcPr>
          <w:p>
            <w:r>
              <w:rPr>
                <w:i/>
                <w:color w:val="6A6A6A"/>
                <w:sz w:val="16"/>
              </w:rPr>
              <w:t>Structure / sitemap</w:t>
            </w:r>
          </w:p>
        </w:tc>
        <w:tc>
          <w:tcPr>
            <w:tcW w:type="dxa" w:w="3249"/>
          </w:tcPr>
          <w:p>
            <w:r>
              <w:rPr>
                <w:i/>
                <w:color w:val="6A6A6A"/>
                <w:sz w:val="16"/>
              </w:rPr>
              <w:t>New page and navigation entry</w:t>
            </w:r>
          </w:p>
        </w:tc>
        <w:tc>
          <w:tcPr>
            <w:tcW w:type="dxa" w:w="3249"/>
          </w:tcPr>
          <w:p>
            <w:r>
              <w:rPr>
                <w:i/>
                <w:color w:val="6A6A6A"/>
                <w:sz w:val="16"/>
              </w:rPr>
              <w:t>3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Total additional effort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Hours — not "some impact"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Total price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Schedule impact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Days added to the timeline, and which gate moves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Effect on the estimate baseline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Accepted variations update the baseline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Options offered to the client</w:t>
      </w:r>
    </w:p>
    <w:p>
      <w:pPr>
        <w:spacing w:after="160"/>
      </w:pPr>
      <w:r>
        <w:rPr>
          <w:i/>
          <w:color w:val="6A6A6A"/>
          <w:sz w:val="17"/>
        </w:rPr>
        <w:t>Offering a choice is what makes this a conversation rather than a bill. All three of these are legitimate outcomes.</w:t>
      </w:r>
    </w:p>
    <w:p>
      <w:pPr>
        <w:pStyle w:val="ListBullet"/>
      </w:pPr>
      <w:r>
        <w:rPr>
          <w:sz w:val="20"/>
        </w:rPr>
        <w:t>Proceed now at the price above — the timeline moves by the stated amount</w:t>
      </w:r>
    </w:p>
    <w:p>
      <w:pPr>
        <w:pStyle w:val="ListBullet"/>
      </w:pPr>
      <w:r>
        <w:rPr>
          <w:sz w:val="20"/>
        </w:rPr>
        <w:t>Defer to after launch as a separate piece of work</w:t>
      </w:r>
    </w:p>
    <w:p>
      <w:pPr>
        <w:pStyle w:val="ListBullet"/>
      </w:pPr>
      <w:r>
        <w:rPr>
          <w:sz w:val="20"/>
        </w:rPr>
        <w:t>Do not proceed — the approved scope stands unchanged</w:t>
      </w:r>
    </w:p>
    <w:p>
      <w:pPr>
        <w:spacing w:before="280" w:after="80"/>
      </w:pPr>
      <w:r>
        <w:rPr>
          <w:b/>
          <w:color w:val="212333"/>
          <w:sz w:val="26"/>
        </w:rPr>
        <w:t>Decision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Client decision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Proceed / defer / decline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Approved by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Named client approver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Basecamp reference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If absorbed at no charge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Record it anyway. Absorbing twenty minutes as goodwill is a choice; absorbing twenty hours because nobody was counting is not.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