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ED1B24"/>
          <w:sz w:val="16"/>
        </w:rPr>
        <w:t>CHILLIBYTE</w:t>
      </w:r>
      <w:r>
        <w:rPr>
          <w:b/>
          <w:color w:val="6A6A6A"/>
          <w:sz w:val="16"/>
        </w:rPr>
        <w:t xml:space="preserve">  ·  WEBSITE DELIVERY PROCESS</w:t>
      </w:r>
    </w:p>
    <w:p>
      <w:pPr>
        <w:spacing w:after="40"/>
      </w:pPr>
      <w:r>
        <w:rPr>
          <w:b/>
          <w:color w:val="212333"/>
          <w:sz w:val="44"/>
        </w:rPr>
        <w:t>Block specification</w:t>
      </w:r>
    </w:p>
    <w:p>
      <w:r>
        <w:rPr>
          <w:i/>
          <w:color w:val="6A6A6A"/>
          <w:sz w:val="20"/>
        </w:rPr>
        <w:t>One per block being adapted or built new. Reused blocks do not need one.</w:t>
      </w:r>
    </w:p>
    <w:p>
      <w:pPr>
        <w:spacing w:after="280"/>
      </w:pPr>
      <w:r>
        <w:rPr>
          <w:b/>
          <w:color w:val="ED1B24"/>
          <w:sz w:val="16"/>
        </w:rPr>
        <w:t>Gate 5   |   Routes: standard / full   |   Version: v0.1 draft → v1.0 on approval → v1.1 after a logged change</w:t>
      </w:r>
    </w:p>
    <w:p>
      <w:pPr>
        <w:spacing w:before="280" w:after="80"/>
      </w:pPr>
      <w:r>
        <w:rPr>
          <w:b/>
          <w:color w:val="212333"/>
          <w:sz w:val="26"/>
        </w:rPr>
        <w:t>Block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061"/>
            <w:shd w:val="clear" w:fill="F5F5F5"/>
          </w:tcPr>
          <w:p>
            <w:r>
              <w:rPr>
                <w:b/>
                <w:color w:val="212333"/>
                <w:sz w:val="19"/>
              </w:rPr>
              <w:t>Block name</w:t>
            </w:r>
          </w:p>
        </w:tc>
        <w:tc>
          <w:tcPr>
            <w:tcW w:type="dxa" w:w="4873"/>
          </w:tcPr>
          <w:p/>
        </w:tc>
      </w:tr>
      <w:tr>
        <w:tc>
          <w:tcPr>
            <w:tcW w:type="dxa" w:w="3061"/>
            <w:shd w:val="clear" w:fill="F5F5F5"/>
          </w:tcPr>
          <w:p>
            <w:r>
              <w:rPr>
                <w:b/>
                <w:color w:val="212333"/>
                <w:sz w:val="19"/>
              </w:rPr>
              <w:t>Block type</w:t>
            </w:r>
          </w:p>
        </w:tc>
        <w:tc>
          <w:tcPr>
            <w:tcW w:type="dxa" w:w="4873"/>
          </w:tcPr>
          <w:p>
            <w:r>
              <w:rPr>
                <w:i/>
                <w:color w:val="6A6A6A"/>
                <w:sz w:val="17"/>
              </w:rPr>
              <w:t>existing / existing with variation / new reusable / one-off</w:t>
            </w:r>
          </w:p>
        </w:tc>
      </w:tr>
      <w:tr>
        <w:tc>
          <w:tcPr>
            <w:tcW w:type="dxa" w:w="3061"/>
            <w:shd w:val="clear" w:fill="F5F5F5"/>
          </w:tcPr>
          <w:p>
            <w:r>
              <w:rPr>
                <w:b/>
                <w:color w:val="212333"/>
                <w:sz w:val="19"/>
              </w:rPr>
              <w:t>Used on</w:t>
            </w:r>
          </w:p>
        </w:tc>
        <w:tc>
          <w:tcPr>
            <w:tcW w:type="dxa" w:w="4873"/>
          </w:tcPr>
          <w:p>
            <w:r>
              <w:rPr>
                <w:i/>
                <w:color w:val="6A6A6A"/>
                <w:sz w:val="17"/>
              </w:rPr>
              <w:t>List every page. If it is only one page, ask whether it should be a block at all.</w:t>
            </w:r>
          </w:p>
        </w:tc>
      </w:tr>
      <w:tr>
        <w:tc>
          <w:tcPr>
            <w:tcW w:type="dxa" w:w="3061"/>
            <w:shd w:val="clear" w:fill="F5F5F5"/>
          </w:tcPr>
          <w:p>
            <w:r>
              <w:rPr>
                <w:b/>
                <w:color w:val="212333"/>
                <w:sz w:val="19"/>
              </w:rPr>
              <w:t>Purpose</w:t>
            </w:r>
          </w:p>
        </w:tc>
        <w:tc>
          <w:tcPr>
            <w:tcW w:type="dxa" w:w="4873"/>
          </w:tcPr>
          <w:p/>
        </w:tc>
      </w:tr>
      <w:tr>
        <w:tc>
          <w:tcPr>
            <w:tcW w:type="dxa" w:w="3061"/>
            <w:shd w:val="clear" w:fill="F5F5F5"/>
          </w:tcPr>
          <w:p>
            <w:r>
              <w:rPr>
                <w:b/>
                <w:color w:val="212333"/>
                <w:sz w:val="19"/>
              </w:rPr>
              <w:t>Content role</w:t>
            </w:r>
          </w:p>
        </w:tc>
        <w:tc>
          <w:tcPr>
            <w:tcW w:type="dxa" w:w="4873"/>
          </w:tcPr>
          <w:p/>
        </w:tc>
      </w:tr>
      <w:tr>
        <w:tc>
          <w:tcPr>
            <w:tcW w:type="dxa" w:w="3061"/>
            <w:shd w:val="clear" w:fill="F5F5F5"/>
          </w:tcPr>
          <w:p>
            <w:r>
              <w:rPr>
                <w:b/>
                <w:color w:val="212333"/>
                <w:sz w:val="19"/>
              </w:rPr>
              <w:t>Design role</w:t>
            </w:r>
          </w:p>
        </w:tc>
        <w:tc>
          <w:tcPr>
            <w:tcW w:type="dxa" w:w="4873"/>
          </w:tcPr>
          <w:p/>
        </w:tc>
      </w:tr>
      <w:tr>
        <w:tc>
          <w:tcPr>
            <w:tcW w:type="dxa" w:w="3061"/>
            <w:shd w:val="clear" w:fill="F5F5F5"/>
          </w:tcPr>
          <w:p>
            <w:r>
              <w:rPr>
                <w:b/>
                <w:color w:val="212333"/>
                <w:sz w:val="19"/>
              </w:rPr>
              <w:t>Build priority</w:t>
            </w:r>
          </w:p>
        </w:tc>
        <w:tc>
          <w:tcPr>
            <w:tcW w:type="dxa" w:w="4873"/>
          </w:tcPr>
          <w:p/>
        </w:tc>
      </w:tr>
    </w:tbl>
    <w:p/>
    <w:p>
      <w:pPr>
        <w:spacing w:before="280" w:after="80"/>
      </w:pPr>
      <w:r>
        <w:rPr>
          <w:b/>
          <w:color w:val="212333"/>
          <w:sz w:val="26"/>
        </w:rPr>
        <w:t>Reuse decision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061"/>
            <w:shd w:val="clear" w:fill="F5F5F5"/>
          </w:tcPr>
          <w:p>
            <w:r>
              <w:rPr>
                <w:b/>
                <w:color w:val="212333"/>
                <w:sz w:val="19"/>
              </w:rPr>
              <w:t>Existing block available?</w:t>
            </w:r>
          </w:p>
        </w:tc>
        <w:tc>
          <w:tcPr>
            <w:tcW w:type="dxa" w:w="4873"/>
          </w:tcPr>
          <w:p/>
        </w:tc>
      </w:tr>
      <w:tr>
        <w:tc>
          <w:tcPr>
            <w:tcW w:type="dxa" w:w="3061"/>
            <w:shd w:val="clear" w:fill="F5F5F5"/>
          </w:tcPr>
          <w:p>
            <w:r>
              <w:rPr>
                <w:b/>
                <w:color w:val="212333"/>
                <w:sz w:val="19"/>
              </w:rPr>
              <w:t>Reuse / adapt / build new</w:t>
            </w:r>
          </w:p>
        </w:tc>
        <w:tc>
          <w:tcPr>
            <w:tcW w:type="dxa" w:w="4873"/>
          </w:tcPr>
          <w:p/>
        </w:tc>
      </w:tr>
      <w:tr>
        <w:tc>
          <w:tcPr>
            <w:tcW w:type="dxa" w:w="3061"/>
            <w:shd w:val="clear" w:fill="F5F5F5"/>
          </w:tcPr>
          <w:p>
            <w:r>
              <w:rPr>
                <w:b/>
                <w:color w:val="212333"/>
                <w:sz w:val="19"/>
              </w:rPr>
              <w:t>Reason</w:t>
            </w:r>
          </w:p>
        </w:tc>
        <w:tc>
          <w:tcPr>
            <w:tcW w:type="dxa" w:w="4873"/>
          </w:tcPr>
          <w:p>
            <w:r>
              <w:rPr>
                <w:i/>
                <w:color w:val="6A6A6A"/>
                <w:sz w:val="17"/>
              </w:rPr>
              <w:t>Record in the decision log — this is a decision with a reversal cost</w:t>
            </w:r>
          </w:p>
        </w:tc>
      </w:tr>
      <w:tr>
        <w:tc>
          <w:tcPr>
            <w:tcW w:type="dxa" w:w="3061"/>
            <w:shd w:val="clear" w:fill="F5F5F5"/>
          </w:tcPr>
          <w:p>
            <w:r>
              <w:rPr>
                <w:b/>
                <w:color w:val="212333"/>
                <w:sz w:val="19"/>
              </w:rPr>
              <w:t>Build impact</w:t>
            </w:r>
          </w:p>
        </w:tc>
        <w:tc>
          <w:tcPr>
            <w:tcW w:type="dxa" w:w="4873"/>
          </w:tcPr>
          <w:p>
            <w:r>
              <w:rPr>
                <w:i/>
                <w:color w:val="6A6A6A"/>
                <w:sz w:val="17"/>
              </w:rPr>
              <w:t>low / medium / high, and an hours figure</w:t>
            </w:r>
          </w:p>
        </w:tc>
      </w:tr>
    </w:tbl>
    <w:p/>
    <w:p>
      <w:pPr>
        <w:spacing w:before="280" w:after="80"/>
      </w:pPr>
      <w:r>
        <w:rPr>
          <w:b/>
          <w:color w:val="212333"/>
          <w:sz w:val="26"/>
        </w:rPr>
        <w:t>Fields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fill="212333"/>
          </w:tcPr>
          <w:p>
            <w:r>
              <w:rPr>
                <w:b/>
                <w:color w:val="FFFFFF"/>
                <w:sz w:val="18"/>
              </w:rPr>
              <w:t>Field name</w:t>
            </w:r>
          </w:p>
        </w:tc>
        <w:tc>
          <w:tcPr>
            <w:tcW w:type="dxa" w:w="1949"/>
            <w:shd w:val="clear" w:fill="212333"/>
          </w:tcPr>
          <w:p>
            <w:r>
              <w:rPr>
                <w:b/>
                <w:color w:val="FFFFFF"/>
                <w:sz w:val="18"/>
              </w:rPr>
              <w:t>Field type</w:t>
            </w:r>
          </w:p>
        </w:tc>
        <w:tc>
          <w:tcPr>
            <w:tcW w:type="dxa" w:w="1949"/>
            <w:shd w:val="clear" w:fill="212333"/>
          </w:tcPr>
          <w:p>
            <w:r>
              <w:rPr>
                <w:b/>
                <w:color w:val="FFFFFF"/>
                <w:sz w:val="18"/>
              </w:rPr>
              <w:t>Required</w:t>
            </w:r>
          </w:p>
        </w:tc>
        <w:tc>
          <w:tcPr>
            <w:tcW w:type="dxa" w:w="1949"/>
            <w:shd w:val="clear" w:fill="212333"/>
          </w:tcPr>
          <w:p>
            <w:r>
              <w:rPr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949"/>
            <w:shd w:val="clear" w:fill="212333"/>
          </w:tcPr>
          <w:p>
            <w:r>
              <w:rPr>
                <w:b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1949"/>
          </w:tcPr>
          <w:p>
            <w:r>
              <w:rPr>
                <w:i/>
                <w:color w:val="6A6A6A"/>
                <w:sz w:val="16"/>
              </w:rPr>
              <w:t>Heading</w:t>
            </w:r>
          </w:p>
        </w:tc>
        <w:tc>
          <w:tcPr>
            <w:tcW w:type="dxa" w:w="1949"/>
          </w:tcPr>
          <w:p>
            <w:r>
              <w:rPr>
                <w:i/>
                <w:color w:val="6A6A6A"/>
                <w:sz w:val="16"/>
              </w:rPr>
              <w:t>Text</w:t>
            </w:r>
          </w:p>
        </w:tc>
        <w:tc>
          <w:tcPr>
            <w:tcW w:type="dxa" w:w="1949"/>
          </w:tcPr>
          <w:p>
            <w:r>
              <w:rPr>
                <w:i/>
                <w:color w:val="6A6A6A"/>
                <w:sz w:val="16"/>
              </w:rPr>
              <w:t>Yes</w:t>
            </w:r>
          </w:p>
        </w:tc>
        <w:tc>
          <w:tcPr>
            <w:tcW w:type="dxa" w:w="1949"/>
          </w:tcPr>
          <w:p>
            <w:r>
              <w:rPr>
                <w:i/>
                <w:color w:val="6A6A6A"/>
                <w:sz w:val="16"/>
              </w:rPr>
              <w:t>—</w:t>
            </w:r>
          </w:p>
        </w:tc>
        <w:tc>
          <w:tcPr>
            <w:tcW w:type="dxa" w:w="1949"/>
          </w:tcPr>
          <w:p>
            <w:r>
              <w:rPr>
                <w:i/>
                <w:color w:val="6A6A6A"/>
                <w:sz w:val="16"/>
              </w:rPr>
              <w:t>Max 60 chars</w:t>
            </w:r>
          </w:p>
        </w:tc>
      </w:tr>
      <w:tr>
        <w:tc>
          <w:tcPr>
            <w:tcW w:type="dxa" w:w="1949"/>
          </w:tcPr>
          <w:p/>
        </w:tc>
        <w:tc>
          <w:tcPr>
            <w:tcW w:type="dxa" w:w="1949"/>
          </w:tcPr>
          <w:p/>
        </w:tc>
        <w:tc>
          <w:tcPr>
            <w:tcW w:type="dxa" w:w="1949"/>
          </w:tcPr>
          <w:p/>
        </w:tc>
        <w:tc>
          <w:tcPr>
            <w:tcW w:type="dxa" w:w="1949"/>
          </w:tcPr>
          <w:p/>
        </w:tc>
        <w:tc>
          <w:tcPr>
            <w:tcW w:type="dxa" w:w="1949"/>
          </w:tcPr>
          <w:p/>
        </w:tc>
      </w:tr>
      <w:tr>
        <w:tc>
          <w:tcPr>
            <w:tcW w:type="dxa" w:w="1949"/>
          </w:tcPr>
          <w:p/>
        </w:tc>
        <w:tc>
          <w:tcPr>
            <w:tcW w:type="dxa" w:w="1949"/>
          </w:tcPr>
          <w:p/>
        </w:tc>
        <w:tc>
          <w:tcPr>
            <w:tcW w:type="dxa" w:w="1949"/>
          </w:tcPr>
          <w:p/>
        </w:tc>
        <w:tc>
          <w:tcPr>
            <w:tcW w:type="dxa" w:w="1949"/>
          </w:tcPr>
          <w:p/>
        </w:tc>
        <w:tc>
          <w:tcPr>
            <w:tcW w:type="dxa" w:w="1949"/>
          </w:tcPr>
          <w:p/>
        </w:tc>
      </w:tr>
      <w:tr>
        <w:tc>
          <w:tcPr>
            <w:tcW w:type="dxa" w:w="1949"/>
          </w:tcPr>
          <w:p/>
        </w:tc>
        <w:tc>
          <w:tcPr>
            <w:tcW w:type="dxa" w:w="1949"/>
          </w:tcPr>
          <w:p/>
        </w:tc>
        <w:tc>
          <w:tcPr>
            <w:tcW w:type="dxa" w:w="1949"/>
          </w:tcPr>
          <w:p/>
        </w:tc>
        <w:tc>
          <w:tcPr>
            <w:tcW w:type="dxa" w:w="1949"/>
          </w:tcPr>
          <w:p/>
        </w:tc>
        <w:tc>
          <w:tcPr>
            <w:tcW w:type="dxa" w:w="1949"/>
          </w:tcPr>
          <w:p/>
        </w:tc>
      </w:tr>
      <w:tr>
        <w:tc>
          <w:tcPr>
            <w:tcW w:type="dxa" w:w="1949"/>
          </w:tcPr>
          <w:p/>
        </w:tc>
        <w:tc>
          <w:tcPr>
            <w:tcW w:type="dxa" w:w="1949"/>
          </w:tcPr>
          <w:p/>
        </w:tc>
        <w:tc>
          <w:tcPr>
            <w:tcW w:type="dxa" w:w="1949"/>
          </w:tcPr>
          <w:p/>
        </w:tc>
        <w:tc>
          <w:tcPr>
            <w:tcW w:type="dxa" w:w="1949"/>
          </w:tcPr>
          <w:p/>
        </w:tc>
        <w:tc>
          <w:tcPr>
            <w:tcW w:type="dxa" w:w="1949"/>
          </w:tcPr>
          <w:p/>
        </w:tc>
      </w:tr>
      <w:tr>
        <w:tc>
          <w:tcPr>
            <w:tcW w:type="dxa" w:w="1949"/>
          </w:tcPr>
          <w:p/>
        </w:tc>
        <w:tc>
          <w:tcPr>
            <w:tcW w:type="dxa" w:w="1949"/>
          </w:tcPr>
          <w:p/>
        </w:tc>
        <w:tc>
          <w:tcPr>
            <w:tcW w:type="dxa" w:w="1949"/>
          </w:tcPr>
          <w:p/>
        </w:tc>
        <w:tc>
          <w:tcPr>
            <w:tcW w:type="dxa" w:w="1949"/>
          </w:tcPr>
          <w:p/>
        </w:tc>
        <w:tc>
          <w:tcPr>
            <w:tcW w:type="dxa" w:w="1949"/>
          </w:tcPr>
          <w:p/>
        </w:tc>
      </w:tr>
    </w:tbl>
    <w:p/>
    <w:p>
      <w:pPr>
        <w:spacing w:before="280" w:after="80"/>
      </w:pPr>
      <w:r>
        <w:rPr>
          <w:b/>
          <w:color w:val="212333"/>
          <w:sz w:val="26"/>
        </w:rPr>
        <w:t>Display and responsive rules</w:t>
      </w:r>
    </w:p>
    <w:p>
      <w:pPr>
        <w:spacing w:after="160"/>
      </w:pPr>
      <w:r>
        <w:rPr>
          <w:i/>
          <w:color w:val="6A6A6A"/>
          <w:sz w:val="17"/>
        </w:rPr>
        <w:t>Responsive behaviour is a structural decision. Agree it here, not at QA.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061"/>
            <w:shd w:val="clear" w:fill="F5F5F5"/>
          </w:tcPr>
          <w:p>
            <w:r>
              <w:rPr>
                <w:b/>
                <w:color w:val="212333"/>
                <w:sz w:val="19"/>
              </w:rPr>
              <w:t>Desktop layout</w:t>
            </w:r>
          </w:p>
        </w:tc>
        <w:tc>
          <w:tcPr>
            <w:tcW w:type="dxa" w:w="4873"/>
          </w:tcPr>
          <w:p/>
        </w:tc>
      </w:tr>
      <w:tr>
        <w:tc>
          <w:tcPr>
            <w:tcW w:type="dxa" w:w="3061"/>
            <w:shd w:val="clear" w:fill="F5F5F5"/>
          </w:tcPr>
          <w:p>
            <w:r>
              <w:rPr>
                <w:b/>
                <w:color w:val="212333"/>
                <w:sz w:val="19"/>
              </w:rPr>
              <w:t>Tablet layout</w:t>
            </w:r>
          </w:p>
        </w:tc>
        <w:tc>
          <w:tcPr>
            <w:tcW w:type="dxa" w:w="4873"/>
          </w:tcPr>
          <w:p/>
        </w:tc>
      </w:tr>
      <w:tr>
        <w:tc>
          <w:tcPr>
            <w:tcW w:type="dxa" w:w="3061"/>
            <w:shd w:val="clear" w:fill="F5F5F5"/>
          </w:tcPr>
          <w:p>
            <w:r>
              <w:rPr>
                <w:b/>
                <w:color w:val="212333"/>
                <w:sz w:val="19"/>
              </w:rPr>
              <w:t>Mobile layout</w:t>
            </w:r>
          </w:p>
        </w:tc>
        <w:tc>
          <w:tcPr>
            <w:tcW w:type="dxa" w:w="4873"/>
          </w:tcPr>
          <w:p/>
        </w:tc>
      </w:tr>
      <w:tr>
        <w:tc>
          <w:tcPr>
            <w:tcW w:type="dxa" w:w="3061"/>
            <w:shd w:val="clear" w:fill="F5F5F5"/>
          </w:tcPr>
          <w:p>
            <w:r>
              <w:rPr>
                <w:b/>
                <w:color w:val="212333"/>
                <w:sz w:val="19"/>
              </w:rPr>
              <w:t>Image behaviour</w:t>
            </w:r>
          </w:p>
        </w:tc>
        <w:tc>
          <w:tcPr>
            <w:tcW w:type="dxa" w:w="4873"/>
          </w:tcPr>
          <w:p/>
        </w:tc>
      </w:tr>
      <w:tr>
        <w:tc>
          <w:tcPr>
            <w:tcW w:type="dxa" w:w="3061"/>
            <w:shd w:val="clear" w:fill="F5F5F5"/>
          </w:tcPr>
          <w:p>
            <w:r>
              <w:rPr>
                <w:b/>
                <w:color w:val="212333"/>
                <w:sz w:val="19"/>
              </w:rPr>
              <w:t>Text limits</w:t>
            </w:r>
          </w:p>
        </w:tc>
        <w:tc>
          <w:tcPr>
            <w:tcW w:type="dxa" w:w="4873"/>
          </w:tcPr>
          <w:p/>
        </w:tc>
      </w:tr>
      <w:tr>
        <w:tc>
          <w:tcPr>
            <w:tcW w:type="dxa" w:w="3061"/>
            <w:shd w:val="clear" w:fill="F5F5F5"/>
          </w:tcPr>
          <w:p>
            <w:r>
              <w:rPr>
                <w:b/>
                <w:color w:val="212333"/>
                <w:sz w:val="19"/>
              </w:rPr>
              <w:t>Button / link behaviour</w:t>
            </w:r>
          </w:p>
        </w:tc>
        <w:tc>
          <w:tcPr>
            <w:tcW w:type="dxa" w:w="4873"/>
          </w:tcPr>
          <w:p/>
        </w:tc>
      </w:tr>
      <w:tr>
        <w:tc>
          <w:tcPr>
            <w:tcW w:type="dxa" w:w="3061"/>
            <w:shd w:val="clear" w:fill="F5F5F5"/>
          </w:tcPr>
          <w:p>
            <w:r>
              <w:rPr>
                <w:b/>
                <w:color w:val="212333"/>
                <w:sz w:val="19"/>
              </w:rPr>
              <w:t>Animation / motion</w:t>
            </w:r>
          </w:p>
        </w:tc>
        <w:tc>
          <w:tcPr>
            <w:tcW w:type="dxa" w:w="4873"/>
          </w:tcPr>
          <w:p/>
        </w:tc>
      </w:tr>
      <w:tr>
        <w:tc>
          <w:tcPr>
            <w:tcW w:type="dxa" w:w="3061"/>
            <w:shd w:val="clear" w:fill="F5F5F5"/>
          </w:tcPr>
          <w:p>
            <w:r>
              <w:rPr>
                <w:b/>
                <w:color w:val="212333"/>
                <w:sz w:val="19"/>
              </w:rPr>
              <w:t>Accessibility notes</w:t>
            </w:r>
          </w:p>
        </w:tc>
        <w:tc>
          <w:tcPr>
            <w:tcW w:type="dxa" w:w="4873"/>
          </w:tcPr>
          <w:p>
            <w:r>
              <w:rPr>
                <w:i/>
                <w:color w:val="6A6A6A"/>
                <w:sz w:val="17"/>
              </w:rPr>
              <w:t>Focus states, heading level, keyboard reachability, contrast</w:t>
            </w:r>
          </w:p>
        </w:tc>
      </w:tr>
    </w:tbl>
    <w:p/>
    <w:p>
      <w:pPr>
        <w:spacing w:before="280" w:after="80"/>
      </w:pPr>
      <w:r>
        <w:rPr>
          <w:b/>
          <w:color w:val="212333"/>
          <w:sz w:val="26"/>
        </w:rPr>
        <w:t>Structure and styling separation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fill="EDF4E3"/>
          </w:tcPr>
          <w:p>
            <w:r>
              <w:rPr>
                <w:b/>
                <w:color w:val="212333"/>
                <w:sz w:val="18"/>
              </w:rPr>
              <w:t xml:space="preserve">The reuse principle.  </w:t>
            </w:r>
            <w:r>
              <w:rPr>
                <w:color w:val="404042"/>
                <w:sz w:val="18"/>
              </w:rPr>
              <w:t>Block PHP structure and field patterns are shared and reusable. The visual system varies through theme SCSS. Every fork is a permanent maintenance cost and a lost reuse opportunity.</w:t>
            </w:r>
          </w:p>
        </w:tc>
      </w:tr>
    </w:tbl>
    <w:p/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061"/>
            <w:shd w:val="clear" w:fill="F5F5F5"/>
          </w:tcPr>
          <w:p>
            <w:r>
              <w:rPr>
                <w:b/>
                <w:color w:val="212333"/>
                <w:sz w:val="19"/>
              </w:rPr>
              <w:t>PHP structure</w:t>
            </w:r>
          </w:p>
        </w:tc>
        <w:tc>
          <w:tcPr>
            <w:tcW w:type="dxa" w:w="4873"/>
          </w:tcPr>
          <w:p/>
        </w:tc>
      </w:tr>
      <w:tr>
        <w:tc>
          <w:tcPr>
            <w:tcW w:type="dxa" w:w="3061"/>
            <w:shd w:val="clear" w:fill="F5F5F5"/>
          </w:tcPr>
          <w:p>
            <w:r>
              <w:rPr>
                <w:b/>
                <w:color w:val="212333"/>
                <w:sz w:val="19"/>
              </w:rPr>
              <w:t>field group</w:t>
            </w:r>
          </w:p>
        </w:tc>
        <w:tc>
          <w:tcPr>
            <w:tcW w:type="dxa" w:w="4873"/>
          </w:tcPr>
          <w:p/>
        </w:tc>
      </w:tr>
      <w:tr>
        <w:tc>
          <w:tcPr>
            <w:tcW w:type="dxa" w:w="3061"/>
            <w:shd w:val="clear" w:fill="F5F5F5"/>
          </w:tcPr>
          <w:p>
            <w:r>
              <w:rPr>
                <w:b/>
                <w:color w:val="212333"/>
                <w:sz w:val="19"/>
              </w:rPr>
              <w:t>Base SCSS</w:t>
            </w:r>
          </w:p>
        </w:tc>
        <w:tc>
          <w:tcPr>
            <w:tcW w:type="dxa" w:w="4873"/>
          </w:tcPr>
          <w:p>
            <w:r>
              <w:rPr>
                <w:i/>
                <w:color w:val="6A6A6A"/>
                <w:sz w:val="17"/>
              </w:rPr>
              <w:t>Shared, structural</w:t>
            </w:r>
          </w:p>
        </w:tc>
      </w:tr>
      <w:tr>
        <w:tc>
          <w:tcPr>
            <w:tcW w:type="dxa" w:w="3061"/>
            <w:shd w:val="clear" w:fill="F5F5F5"/>
          </w:tcPr>
          <w:p>
            <w:r>
              <w:rPr>
                <w:b/>
                <w:color w:val="212333"/>
                <w:sz w:val="19"/>
              </w:rPr>
              <w:t>Theme SCSS</w:t>
            </w:r>
          </w:p>
        </w:tc>
        <w:tc>
          <w:tcPr>
            <w:tcW w:type="dxa" w:w="4873"/>
          </w:tcPr>
          <w:p>
            <w:r>
              <w:rPr>
                <w:i/>
                <w:color w:val="6A6A6A"/>
                <w:sz w:val="17"/>
              </w:rPr>
              <w:t>Project-specific appearance</w:t>
            </w:r>
          </w:p>
        </w:tc>
      </w:tr>
      <w:tr>
        <w:tc>
          <w:tcPr>
            <w:tcW w:type="dxa" w:w="3061"/>
            <w:shd w:val="clear" w:fill="F5F5F5"/>
          </w:tcPr>
          <w:p>
            <w:r>
              <w:rPr>
                <w:b/>
                <w:color w:val="212333"/>
                <w:sz w:val="19"/>
              </w:rPr>
              <w:t>Design library entry required</w:t>
            </w:r>
          </w:p>
        </w:tc>
        <w:tc>
          <w:tcPr>
            <w:tcW w:type="dxa" w:w="4873"/>
          </w:tcPr>
          <w:p>
            <w:r>
              <w:rPr>
                <w:i/>
                <w:color w:val="6A6A6A"/>
                <w:sz w:val="17"/>
              </w:rPr>
              <w:t>yes / no</w:t>
            </w:r>
          </w:p>
        </w:tc>
      </w:tr>
    </w:tbl>
    <w:p/>
    <w:p>
      <w:pPr>
        <w:spacing w:before="280" w:after="80"/>
      </w:pPr>
      <w:r>
        <w:rPr>
          <w:b/>
          <w:color w:val="212333"/>
          <w:sz w:val="26"/>
        </w:rPr>
        <w:t>Design notes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061"/>
            <w:shd w:val="clear" w:fill="F5F5F5"/>
          </w:tcPr>
          <w:p>
            <w:r>
              <w:rPr>
                <w:b/>
                <w:color w:val="212333"/>
                <w:sz w:val="19"/>
              </w:rPr>
              <w:t>Fixed structure</w:t>
            </w:r>
          </w:p>
        </w:tc>
        <w:tc>
          <w:tcPr>
            <w:tcW w:type="dxa" w:w="4873"/>
          </w:tcPr>
          <w:p>
            <w:r>
              <w:rPr>
                <w:i/>
                <w:color w:val="6A6A6A"/>
                <w:sz w:val="17"/>
              </w:rPr>
              <w:t>What the designer must not change</w:t>
            </w:r>
          </w:p>
        </w:tc>
      </w:tr>
      <w:tr>
        <w:tc>
          <w:tcPr>
            <w:tcW w:type="dxa" w:w="3061"/>
            <w:shd w:val="clear" w:fill="F5F5F5"/>
          </w:tcPr>
          <w:p>
            <w:r>
              <w:rPr>
                <w:b/>
                <w:color w:val="212333"/>
                <w:sz w:val="19"/>
              </w:rPr>
              <w:t>Open visual questions</w:t>
            </w:r>
          </w:p>
        </w:tc>
        <w:tc>
          <w:tcPr>
            <w:tcW w:type="dxa" w:w="4873"/>
          </w:tcPr>
          <w:p>
            <w:r>
              <w:rPr>
                <w:i/>
                <w:color w:val="6A6A6A"/>
                <w:sz w:val="17"/>
              </w:rPr>
              <w:t>Where the designer's judgement is wanted</w:t>
            </w:r>
          </w:p>
        </w:tc>
      </w:tr>
      <w:tr>
        <w:tc>
          <w:tcPr>
            <w:tcW w:type="dxa" w:w="3061"/>
            <w:shd w:val="clear" w:fill="F5F5F5"/>
          </w:tcPr>
          <w:p>
            <w:r>
              <w:rPr>
                <w:b/>
                <w:color w:val="212333"/>
                <w:sz w:val="19"/>
              </w:rPr>
              <w:t>Required states or variants</w:t>
            </w:r>
          </w:p>
        </w:tc>
        <w:tc>
          <w:tcPr>
            <w:tcW w:type="dxa" w:w="4873"/>
          </w:tcPr>
          <w:p/>
        </w:tc>
      </w:tr>
      <w:tr>
        <w:tc>
          <w:tcPr>
            <w:tcW w:type="dxa" w:w="3061"/>
            <w:shd w:val="clear" w:fill="F5F5F5"/>
          </w:tcPr>
          <w:p>
            <w:r>
              <w:rPr>
                <w:b/>
                <w:color w:val="212333"/>
                <w:sz w:val="19"/>
              </w:rPr>
              <w:t>References</w:t>
            </w:r>
          </w:p>
        </w:tc>
        <w:tc>
          <w:tcPr>
            <w:tcW w:type="dxa" w:w="4873"/>
          </w:tcPr>
          <w:p/>
        </w:tc>
      </w:tr>
      <w:tr>
        <w:tc>
          <w:tcPr>
            <w:tcW w:type="dxa" w:w="3061"/>
            <w:shd w:val="clear" w:fill="F5F5F5"/>
          </w:tcPr>
          <w:p>
            <w:r>
              <w:rPr>
                <w:b/>
                <w:color w:val="212333"/>
                <w:sz w:val="19"/>
              </w:rPr>
              <w:t>Avoid</w:t>
            </w:r>
          </w:p>
        </w:tc>
        <w:tc>
          <w:tcPr>
            <w:tcW w:type="dxa" w:w="4873"/>
          </w:tcPr>
          <w:p/>
        </w:tc>
      </w:tr>
    </w:tbl>
    <w:p/>
    <w:p>
      <w:pPr>
        <w:spacing w:before="280" w:after="80"/>
      </w:pPr>
      <w:r>
        <w:rPr>
          <w:b/>
          <w:color w:val="212333"/>
          <w:sz w:val="26"/>
        </w:rPr>
        <w:t>Build notes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061"/>
            <w:shd w:val="clear" w:fill="F5F5F5"/>
          </w:tcPr>
          <w:p>
            <w:r>
              <w:rPr>
                <w:b/>
                <w:color w:val="212333"/>
                <w:sz w:val="19"/>
              </w:rPr>
              <w:t>Dependencies</w:t>
            </w:r>
          </w:p>
        </w:tc>
        <w:tc>
          <w:tcPr>
            <w:tcW w:type="dxa" w:w="4873"/>
          </w:tcPr>
          <w:p/>
        </w:tc>
      </w:tr>
      <w:tr>
        <w:tc>
          <w:tcPr>
            <w:tcW w:type="dxa" w:w="3061"/>
            <w:shd w:val="clear" w:fill="F5F5F5"/>
          </w:tcPr>
          <w:p>
            <w:r>
              <w:rPr>
                <w:b/>
                <w:color w:val="212333"/>
                <w:sz w:val="19"/>
              </w:rPr>
              <w:t>Known risks</w:t>
            </w:r>
          </w:p>
        </w:tc>
        <w:tc>
          <w:tcPr>
            <w:tcW w:type="dxa" w:w="4873"/>
          </w:tcPr>
          <w:p/>
        </w:tc>
      </w:tr>
      <w:tr>
        <w:tc>
          <w:tcPr>
            <w:tcW w:type="dxa" w:w="3061"/>
            <w:shd w:val="clear" w:fill="F5F5F5"/>
          </w:tcPr>
          <w:p>
            <w:r>
              <w:rPr>
                <w:b/>
                <w:color w:val="212333"/>
                <w:sz w:val="19"/>
              </w:rPr>
              <w:t>Testing notes</w:t>
            </w:r>
          </w:p>
        </w:tc>
        <w:tc>
          <w:tcPr>
            <w:tcW w:type="dxa" w:w="4873"/>
          </w:tcPr>
          <w:p/>
        </w:tc>
      </w:tr>
    </w:tbl>
    <w:p/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Aptos" w:hAnsi="Aptos" w:eastAsia="Aptos"/>
      <w:color w:val="40404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