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ED1B24"/>
          <w:sz w:val="16"/>
        </w:rPr>
        <w:t>CHILLIBYTE</w:t>
      </w:r>
      <w:r>
        <w:rPr>
          <w:b/>
          <w:color w:val="6A6A6A"/>
          <w:sz w:val="16"/>
        </w:rPr>
        <w:t xml:space="preserve">  ·  WEBSITE DELIVERY PROCESS</w:t>
      </w:r>
    </w:p>
    <w:p>
      <w:pPr>
        <w:spacing w:after="40"/>
      </w:pPr>
      <w:r>
        <w:rPr>
          <w:b/>
          <w:color w:val="212333"/>
          <w:sz w:val="44"/>
        </w:rPr>
        <w:t>Work package</w:t>
      </w:r>
    </w:p>
    <w:p>
      <w:r>
        <w:rPr>
          <w:i/>
          <w:color w:val="6A6A6A"/>
          <w:sz w:val="20"/>
        </w:rPr>
        <w:t>For handing off a step, block or page to anyone — inside the team or outside it — without the project history in their head.</w:t>
      </w:r>
    </w:p>
    <w:p>
      <w:pPr>
        <w:spacing w:after="280"/>
      </w:pPr>
      <w:r>
        <w:rPr>
          <w:b/>
          <w:color w:val="ED1B24"/>
          <w:sz w:val="16"/>
        </w:rPr>
        <w:t>Any step, block or page   |   Routes: light / standard / full   |   Status: draft → assigned → handed back complete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fill="EDF4E3"/>
          </w:tcPr>
          <w:p>
            <w:r>
              <w:rPr>
                <w:b/>
                <w:color w:val="212333"/>
                <w:sz w:val="18"/>
              </w:rPr>
              <w:t xml:space="preserve">A work package is not a to-do.  </w:t>
            </w:r>
            <w:r>
              <w:rPr>
                <w:color w:val="404042"/>
                <w:sz w:val="18"/>
              </w:rPr>
              <w:t>It is a step, block or page expressed as inputs, deliverables, done-when conditions and downstream blocks — so it can be handed to anyone without a briefing. Use one whenever work crosses from one person to another: Head of Web to Web Developer, developer to developer, or agency to a contractor who was not in the room when it was scoped.</w:t>
            </w:r>
          </w:p>
        </w:tc>
      </w:tr>
    </w:tbl>
    <w:p/>
    <w:p>
      <w:pPr>
        <w:spacing w:before="280" w:after="80"/>
      </w:pPr>
      <w:r>
        <w:rPr>
          <w:b/>
          <w:color w:val="212333"/>
          <w:sz w:val="26"/>
        </w:rPr>
        <w:t>Package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061"/>
            <w:shd w:val="clear" w:fill="F5F5F5"/>
          </w:tcPr>
          <w:p>
            <w:r>
              <w:rPr>
                <w:b/>
                <w:color w:val="212333"/>
                <w:sz w:val="19"/>
              </w:rPr>
              <w:t>Title</w:t>
            </w:r>
          </w:p>
        </w:tc>
        <w:tc>
          <w:tcPr>
            <w:tcW w:type="dxa" w:w="4873"/>
          </w:tcPr>
          <w:p>
            <w:r>
              <w:rPr>
                <w:i/>
                <w:color w:val="6A6A6A"/>
                <w:sz w:val="17"/>
              </w:rPr>
              <w:t>What this package covers — one step, one block, or one page. Name it specifically, not "the homepage stuff".</w:t>
            </w:r>
          </w:p>
        </w:tc>
      </w:tr>
      <w:tr>
        <w:tc>
          <w:tcPr>
            <w:tcW w:type="dxa" w:w="3061"/>
            <w:shd w:val="clear" w:fill="F5F5F5"/>
          </w:tcPr>
          <w:p>
            <w:r>
              <w:rPr>
                <w:b/>
                <w:color w:val="212333"/>
                <w:sz w:val="19"/>
              </w:rPr>
              <w:t>Related step / gate</w:t>
            </w:r>
          </w:p>
        </w:tc>
        <w:tc>
          <w:tcPr>
            <w:tcW w:type="dxa" w:w="4873"/>
          </w:tcPr>
          <w:p>
            <w:r>
              <w:rPr>
                <w:i/>
                <w:color w:val="6A6A6A"/>
                <w:sz w:val="17"/>
              </w:rPr>
              <w:t>e.g. "Step 7 — Block identification" or "Gate 5". Link it back to the guide so the receiving person can read the full context if they need it.</w:t>
            </w:r>
          </w:p>
        </w:tc>
      </w:tr>
      <w:tr>
        <w:tc>
          <w:tcPr>
            <w:tcW w:type="dxa" w:w="3061"/>
            <w:shd w:val="clear" w:fill="F5F5F5"/>
          </w:tcPr>
          <w:p>
            <w:r>
              <w:rPr>
                <w:b/>
                <w:color w:val="212333"/>
                <w:sz w:val="19"/>
              </w:rPr>
              <w:t>Owner</w:t>
            </w:r>
          </w:p>
        </w:tc>
        <w:tc>
          <w:tcPr>
            <w:tcW w:type="dxa" w:w="4873"/>
          </w:tcPr>
          <w:p/>
        </w:tc>
      </w:tr>
      <w:tr>
        <w:tc>
          <w:tcPr>
            <w:tcW w:type="dxa" w:w="3061"/>
            <w:shd w:val="clear" w:fill="F5F5F5"/>
          </w:tcPr>
          <w:p>
            <w:r>
              <w:rPr>
                <w:b/>
                <w:color w:val="212333"/>
                <w:sz w:val="19"/>
              </w:rPr>
              <w:t>Assigned to</w:t>
            </w:r>
          </w:p>
        </w:tc>
        <w:tc>
          <w:tcPr>
            <w:tcW w:type="dxa" w:w="4873"/>
          </w:tcPr>
          <w:p/>
        </w:tc>
      </w:tr>
      <w:tr>
        <w:tc>
          <w:tcPr>
            <w:tcW w:type="dxa" w:w="3061"/>
            <w:shd w:val="clear" w:fill="F5F5F5"/>
          </w:tcPr>
          <w:p>
            <w:r>
              <w:rPr>
                <w:b/>
                <w:color w:val="212333"/>
                <w:sz w:val="19"/>
              </w:rPr>
              <w:t>Route</w:t>
            </w:r>
          </w:p>
        </w:tc>
        <w:tc>
          <w:tcPr>
            <w:tcW w:type="dxa" w:w="4873"/>
          </w:tcPr>
          <w:p>
            <w:r>
              <w:rPr>
                <w:i/>
                <w:color w:val="6A6A6A"/>
                <w:sz w:val="17"/>
              </w:rPr>
              <w:t>light / standard / full</w:t>
            </w:r>
          </w:p>
        </w:tc>
      </w:tr>
    </w:tbl>
    <w:p/>
    <w:p>
      <w:pPr>
        <w:spacing w:before="280" w:after="80"/>
      </w:pPr>
      <w:r>
        <w:rPr>
          <w:b/>
          <w:color w:val="212333"/>
          <w:sz w:val="26"/>
        </w:rPr>
        <w:t>Entry criteria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061"/>
            <w:shd w:val="clear" w:fill="F5F5F5"/>
          </w:tcPr>
          <w:p>
            <w:r>
              <w:rPr>
                <w:b/>
                <w:color w:val="212333"/>
                <w:sz w:val="19"/>
              </w:rPr>
              <w:t>Inputs required</w:t>
            </w:r>
          </w:p>
        </w:tc>
        <w:tc>
          <w:tcPr>
            <w:tcW w:type="dxa" w:w="4873"/>
          </w:tcPr>
          <w:p>
            <w:r>
              <w:rPr>
                <w:i/>
                <w:color w:val="6A6A6A"/>
                <w:sz w:val="17"/>
              </w:rPr>
              <w:t>Nothing starts until every one of these exists. List them specifically — "approved wireframes, Gate 6" not "the design".</w:t>
            </w:r>
          </w:p>
        </w:tc>
      </w:tr>
      <w:tr>
        <w:tc>
          <w:tcPr>
            <w:tcW w:type="dxa" w:w="3061"/>
            <w:shd w:val="clear" w:fill="F5F5F5"/>
          </w:tcPr>
          <w:p>
            <w:r>
              <w:rPr>
                <w:b/>
                <w:color w:val="212333"/>
                <w:sz w:val="19"/>
              </w:rPr>
              <w:t>Assumptions</w:t>
            </w:r>
          </w:p>
        </w:tc>
        <w:tc>
          <w:tcPr>
            <w:tcW w:type="dxa" w:w="4873"/>
          </w:tcPr>
          <w:p>
            <w:r>
              <w:rPr>
                <w:i/>
                <w:color w:val="6A6A6A"/>
                <w:sz w:val="17"/>
              </w:rPr>
              <w:t>Anything taken as given that, if wrong, changes the package. If there are none, say so — do not leave it blank by omission.</w:t>
            </w:r>
          </w:p>
        </w:tc>
      </w:tr>
    </w:tbl>
    <w:p/>
    <w:p>
      <w:pPr>
        <w:spacing w:before="280" w:after="80"/>
      </w:pPr>
      <w:r>
        <w:rPr>
          <w:b/>
          <w:color w:val="212333"/>
          <w:sz w:val="26"/>
        </w:rPr>
        <w:t>Exit criteria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061"/>
            <w:shd w:val="clear" w:fill="F5F5F5"/>
          </w:tcPr>
          <w:p>
            <w:r>
              <w:rPr>
                <w:b/>
                <w:color w:val="212333"/>
                <w:sz w:val="19"/>
              </w:rPr>
              <w:t>Deliverables</w:t>
            </w:r>
          </w:p>
        </w:tc>
        <w:tc>
          <w:tcPr>
            <w:tcW w:type="dxa" w:w="4873"/>
          </w:tcPr>
          <w:p>
            <w:r>
              <w:rPr>
                <w:i/>
                <w:color w:val="6A6A6A"/>
                <w:sz w:val="17"/>
              </w:rPr>
              <w:t>What comes back when this is done — named artefacts, not "it’s finished".</w:t>
            </w:r>
          </w:p>
        </w:tc>
      </w:tr>
      <w:tr>
        <w:tc>
          <w:tcPr>
            <w:tcW w:type="dxa" w:w="3061"/>
            <w:shd w:val="clear" w:fill="F5F5F5"/>
          </w:tcPr>
          <w:p>
            <w:r>
              <w:rPr>
                <w:b/>
                <w:color w:val="212333"/>
                <w:sz w:val="19"/>
              </w:rPr>
              <w:t>Done when</w:t>
            </w:r>
          </w:p>
        </w:tc>
        <w:tc>
          <w:tcPr>
            <w:tcW w:type="dxa" w:w="4873"/>
          </w:tcPr>
          <w:p>
            <w:r>
              <w:rPr>
                <w:i/>
                <w:color w:val="6A6A6A"/>
                <w:sz w:val="17"/>
              </w:rPr>
              <w:t>Specific, checkable conditions. "Looks right" is not a done-when condition — write what a reviewer actually checks.</w:t>
            </w:r>
          </w:p>
        </w:tc>
      </w:tr>
      <w:tr>
        <w:tc>
          <w:tcPr>
            <w:tcW w:type="dxa" w:w="3061"/>
            <w:shd w:val="clear" w:fill="F5F5F5"/>
          </w:tcPr>
          <w:p>
            <w:r>
              <w:rPr>
                <w:b/>
                <w:color w:val="212333"/>
                <w:sz w:val="19"/>
              </w:rPr>
              <w:t>Effort estimate</w:t>
            </w:r>
          </w:p>
        </w:tc>
        <w:tc>
          <w:tcPr>
            <w:tcW w:type="dxa" w:w="4873"/>
          </w:tcPr>
          <w:p>
            <w:r>
              <w:rPr>
                <w:i/>
                <w:color w:val="6A6A6A"/>
                <w:sz w:val="17"/>
              </w:rPr>
              <w:t>Hours, against the route this project is running.</w:t>
            </w:r>
          </w:p>
        </w:tc>
      </w:tr>
    </w:tbl>
    <w:p/>
    <w:p>
      <w:pPr>
        <w:spacing w:before="280" w:after="80"/>
      </w:pPr>
      <w:r>
        <w:rPr>
          <w:b/>
          <w:color w:val="212333"/>
          <w:sz w:val="26"/>
        </w:rPr>
        <w:t>Consequences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061"/>
            <w:shd w:val="clear" w:fill="F5F5F5"/>
          </w:tcPr>
          <w:p>
            <w:r>
              <w:rPr>
                <w:b/>
                <w:color w:val="212333"/>
                <w:sz w:val="19"/>
              </w:rPr>
              <w:t>Blocks until complete</w:t>
            </w:r>
          </w:p>
        </w:tc>
        <w:tc>
          <w:tcPr>
            <w:tcW w:type="dxa" w:w="4873"/>
          </w:tcPr>
          <w:p>
            <w:r>
              <w:rPr>
                <w:i/>
                <w:color w:val="6A6A6A"/>
                <w:sz w:val="17"/>
              </w:rPr>
              <w:t>What cannot start until this package is handed back — link the downstream step(s).</w:t>
            </w:r>
          </w:p>
        </w:tc>
      </w:tr>
      <w:tr>
        <w:tc>
          <w:tcPr>
            <w:tcW w:type="dxa" w:w="3061"/>
            <w:shd w:val="clear" w:fill="F5F5F5"/>
          </w:tcPr>
          <w:p>
            <w:r>
              <w:rPr>
                <w:b/>
                <w:color w:val="212333"/>
                <w:sz w:val="19"/>
              </w:rPr>
              <w:t>Reuse decision</w:t>
            </w:r>
          </w:p>
        </w:tc>
        <w:tc>
          <w:tcPr>
            <w:tcW w:type="dxa" w:w="4873"/>
          </w:tcPr>
          <w:p>
            <w:r>
              <w:rPr>
                <w:i/>
                <w:color w:val="6A6A6A"/>
                <w:sz w:val="17"/>
              </w:rPr>
              <w:t>Block packages only — reuse / adapt / build new, and why. Record the reason in the decision log if it carries a reversal cost.</w:t>
            </w:r>
          </w:p>
        </w:tc>
      </w:tr>
    </w:tbl>
    <w:p/>
    <w:p>
      <w:pPr>
        <w:spacing w:before="280" w:after="80"/>
      </w:pPr>
      <w:r>
        <w:rPr>
          <w:b/>
          <w:color w:val="212333"/>
          <w:sz w:val="26"/>
        </w:rPr>
        <w:t>Handback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061"/>
            <w:shd w:val="clear" w:fill="F5F5F5"/>
          </w:tcPr>
          <w:p>
            <w:r>
              <w:rPr>
                <w:b/>
                <w:color w:val="212333"/>
                <w:sz w:val="19"/>
              </w:rPr>
              <w:t>Actual hours</w:t>
            </w:r>
          </w:p>
        </w:tc>
        <w:tc>
          <w:tcPr>
            <w:tcW w:type="dxa" w:w="4873"/>
          </w:tcPr>
          <w:p>
            <w:r>
              <w:rPr>
                <w:i/>
                <w:color w:val="6A6A6A"/>
                <w:sz w:val="17"/>
              </w:rPr>
              <w:t>Recorded against the estimate as the package closes — this is what makes the next estimate better.</w:t>
            </w:r>
          </w:p>
        </w:tc>
      </w:tr>
      <w:tr>
        <w:tc>
          <w:tcPr>
            <w:tcW w:type="dxa" w:w="3061"/>
            <w:shd w:val="clear" w:fill="F5F5F5"/>
          </w:tcPr>
          <w:p>
            <w:r>
              <w:rPr>
                <w:b/>
                <w:color w:val="212333"/>
                <w:sz w:val="19"/>
              </w:rPr>
              <w:t>Self-check notes</w:t>
            </w:r>
          </w:p>
        </w:tc>
        <w:tc>
          <w:tcPr>
            <w:tcW w:type="dxa" w:w="4873"/>
          </w:tcPr>
          <w:p>
            <w:r>
              <w:rPr>
                <w:i/>
                <w:color w:val="6A6A6A"/>
                <w:sz w:val="17"/>
              </w:rPr>
              <w:t>What was verified before handing back, so QA finds edge cases, not missing sections.</w:t>
            </w:r>
          </w:p>
        </w:tc>
      </w:tr>
      <w:tr>
        <w:tc>
          <w:tcPr>
            <w:tcW w:type="dxa" w:w="3061"/>
            <w:shd w:val="clear" w:fill="F5F5F5"/>
          </w:tcPr>
          <w:p>
            <w:r>
              <w:rPr>
                <w:b/>
                <w:color w:val="212333"/>
                <w:sz w:val="19"/>
              </w:rPr>
              <w:t>Handed back to</w:t>
            </w:r>
          </w:p>
        </w:tc>
        <w:tc>
          <w:tcPr>
            <w:tcW w:type="dxa" w:w="4873"/>
          </w:tcPr>
          <w:p/>
        </w:tc>
      </w:tr>
      <w:tr>
        <w:tc>
          <w:tcPr>
            <w:tcW w:type="dxa" w:w="3061"/>
            <w:shd w:val="clear" w:fill="F5F5F5"/>
          </w:tcPr>
          <w:p>
            <w:r>
              <w:rPr>
                <w:b/>
                <w:color w:val="212333"/>
                <w:sz w:val="19"/>
              </w:rPr>
              <w:t>Date</w:t>
            </w:r>
          </w:p>
        </w:tc>
        <w:tc>
          <w:tcPr>
            <w:tcW w:type="dxa" w:w="4873"/>
          </w:tcPr>
          <w:p/>
        </w:tc>
      </w:tr>
    </w:tbl>
    <w:p/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Aptos" w:hAnsi="Aptos" w:eastAsia="Aptos"/>
      <w:color w:val="40404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