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3999" cy="304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04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36" w:lineRule="auto"/>
        <w:jc w:val="center"/>
      </w:pPr>
      <w:r>
        <w:rPr>
          <w:rFonts w:ascii="Noto Sans CJK SC" w:hAnsi="Noto Sans CJK SC" w:eastAsia="Noto Sans CJK SC"/>
          <w:b/>
          <w:color w:val="16324F"/>
          <w:sz w:val="26"/>
        </w:rPr>
        <w:t>面向共同发起人与合作伙伴</w:t>
      </w:r>
    </w:p>
    <w:p>
      <w:pPr>
        <w:spacing w:before="0" w:after="400" w:line="336" w:lineRule="auto"/>
        <w:jc w:val="center"/>
      </w:pPr>
      <w:r>
        <w:rPr>
          <w:rFonts w:ascii="Noto Sans CJK SC" w:hAnsi="Noto Sans CJK SC" w:eastAsia="Noto Sans CJK SC"/>
          <w:color w:val="5B6770"/>
          <w:sz w:val="20"/>
        </w:rPr>
        <w:t>版本 V1.0  ·  2026年7月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976"/>
            <w:shd w:fill="F3F7FA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</w:tcBorders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spacing w:before="0" w:after="8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B998B"/>
                <w:sz w:val="18"/>
              </w:rPr>
              <w:t>首个场景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嵌入式开发教学</w:t>
            </w:r>
          </w:p>
        </w:tc>
        <w:tc>
          <w:tcPr>
            <w:tcW w:type="dxa" w:w="2976"/>
            <w:shd w:fill="F3F7FA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</w:tcBorders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spacing w:before="0" w:after="8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B998B"/>
                <w:sz w:val="18"/>
              </w:rPr>
              <w:t>验证目标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流程闭环与注意力保护</w:t>
            </w:r>
          </w:p>
        </w:tc>
        <w:tc>
          <w:tcPr>
            <w:tcW w:type="dxa" w:w="2976"/>
            <w:shd w:fill="F3F7FA"/>
            <w:tcBorders>
              <w:top w:val="single" w:sz="6" w:color="D7E3EA"/>
              <w:left w:val="single" w:sz="6" w:color="D7E3EA"/>
              <w:bottom w:val="single" w:sz="6" w:color="D7E3EA"/>
              <w:right w:val="single" w:sz="6" w:color="D7E3EA"/>
            </w:tcBorders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spacing w:before="0" w:after="8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B998B"/>
                <w:sz w:val="18"/>
              </w:rPr>
              <w:t>远期方向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小微初创企业虚拟 OCC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写在前面：给兄弟的一封项目说明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兄弟，这个项目最值得做的地方，不是“大模型”“多 Agent”这些听起来很新的词，而是我们手里已经有一个真实、复杂、长期运行、能够反复验证的场景。我们不是先造一个平台，再到处寻找谁愿意用；我们已经有一套嵌入式开发教学流程，有学生、有教师、有打样等待、有设备资源、有返工、有交付物，也有非常具体的失败后果。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这张流程图本身就是一个小型运营控制中心：它需要知道每个人走到哪一步，哪些任务能并行，哪些节点不能跳过，什么时候应该补课，什么时候应该等待，等待期间还能做什么，什么情况需要教师介入。把这套事情稳定、规范、可审计地交给系统管理，能够直接减少老师的重复沟通，也能让学生少走弯路。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如果这个系统能在教学环境中真正跑起来，我们得到的就不只是一个“智能助教”，而是一套经过现实检验的流程控制内核。以后进入小微初创企业场景时，我们替换的主要是知识库、规则和责任边界，而不是重新发明整个产品。我们的远期目标，是让系统承担那些高频、琐碎、容易遗忘但又不能出错的运营和合规工作，把创始人的注意力留给产品、客户、团队和关键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46"/>
            <w:shd w:fill="E8F6F2"/>
            <w:tcBorders>
              <w:top w:val="nil"/>
              <w:left w:val="single" w:sz="18" w:color="1B998B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22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3"/>
              </w:rPr>
              <w:t>一句话定义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202B33"/>
                <w:sz w:val="21"/>
              </w:rPr>
              <w:t>创序 OCC 是一套“概率智能 + 确定性控制”的高复杂度流程操作系统：大语言模型负责理解、解释和规划，工作流与规则引擎负责状态、权限、依赖和审计。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一、项目摘要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项目拟以现有嵌入式开发教学流程为第一套真实部署环境，建设一套能够持续感知参与者状态、生成动态任务路径、管理前置依赖、填补等待期、识别风险并升级人工介入的虚拟 OCC。首期产品不追求覆盖所有课程，也不直接进入高责任的企业合规结论场景，而是先把一条真实流程完整跑通。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系统的核心价值不是“回答问题”，而是把问题转化为可执行的任务图，并持续保证任务在正确的时间、由正确的人、依据正确的证据进入下一状态。对教学而言，它保护教师的注意力；对未来的初创企业而言，它保护创始人的注意力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EAF3F8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项目代号</w:t>
            </w:r>
          </w:p>
        </w:tc>
        <w:tc>
          <w:tcPr>
            <w:tcW w:type="dxa" w:w="65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FFFFFF"/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9"/>
              </w:rPr>
              <w:t>创序 OCC（暂定名）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EAF3F8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第一阶段</w:t>
            </w:r>
          </w:p>
        </w:tc>
        <w:tc>
          <w:tcPr>
            <w:tcW w:type="dxa" w:w="65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FFFFFF"/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9"/>
              </w:rPr>
              <w:t>嵌入式开发教学 OCC：真实部署、真实用户、真实数据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EAF3F8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核心能力</w:t>
            </w:r>
          </w:p>
        </w:tc>
        <w:tc>
          <w:tcPr>
            <w:tcW w:type="dxa" w:w="65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FFFFFF"/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9"/>
              </w:rPr>
              <w:t>流程图、状态机、前置条件、并行调度、等待期任务、风险预警、人工升级、证据链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EAF3F8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技术原则</w:t>
            </w:r>
          </w:p>
        </w:tc>
        <w:tc>
          <w:tcPr>
            <w:tcW w:type="dxa" w:w="65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FFFFFF"/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9"/>
              </w:rPr>
              <w:t>确定性流程内核负责“能不能做”；大模型与 Agent 负责“怎么理解、怎么建议、怎么解释”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EAF3F8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首期用户</w:t>
            </w:r>
          </w:p>
        </w:tc>
        <w:tc>
          <w:tcPr>
            <w:tcW w:type="dxa" w:w="65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FFFFFF"/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9"/>
              </w:rPr>
              <w:t>学生、教师、课程组织者、实验室/设备资源管理者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EAF3F8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商业延伸</w:t>
            </w:r>
          </w:p>
        </w:tc>
        <w:tc>
          <w:tcPr>
            <w:tcW w:type="dxa" w:w="65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FFFFFF"/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9"/>
              </w:rPr>
              <w:t>教学 SaaS → 单一垂直行业合规 OCC → 产业资源撮合网络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EAF3F8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9"/>
              </w:rPr>
              <w:t>首期周期</w:t>
            </w:r>
          </w:p>
        </w:tc>
        <w:tc>
          <w:tcPr>
            <w:tcW w:type="dxa" w:w="65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FFFFFF"/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9"/>
              </w:rPr>
              <w:t>建议 16 周完成可用试点，随后按一个完整教学周期评估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二、为什么现在做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2.1 小团队真正稀缺的是持续注意力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天使轮和小微初创企业通常没有条件配置完整的运营、法务、财税、项目管理和合规团队。大量工作回流到创始人：决定优先级、追踪任务、补齐资料、提醒截止时间、解释政策、协调供应商、记录会议结论。任何一项工作都不算“战略”，但它们共同吞噬创始人的判断力。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前期调研得到的判断是：普通企业受到营业执照办理速度的限制已经较低，但受到“从注册到合法经营”的完整路径限制仍然具有明显行业差异。2025年版市场准入负面清单仍包含106项事项和469条全国性具体管理措施；国务院“高效办成一件事”清单也把开办运输企业、开办餐饮店等事项作为跨部门组合流程处理。这说明真正困难的地方已经从单一窗口速度，转向事项识别、前后衔接、材料组织和持续跟踪。[1][2]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2.2 政务和企业都在向“流程再造”靠拢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工信部发布的《2025年度中小企业发展环境评估报告》显示，94.33%的受访企业对“高效办成一件事”服务表示满意。改革方向已经很清楚：企业不应该自己穿梭于多个部门和系统，而应当从“一件事”的角度获得集成服务。[3] 创序 OCC 的机会不在复制政务平台，而在企业内部把“我现在是什么状态、下一步做什么、缺什么证据、谁来确认”持续管理起来。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2.3 教学场景正好具备低风险、高复杂度和可重复性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教育部等九部门在2025年提出推动知识图谱、能力图谱、教育大模型和智能学伴进入教学全过程，同时要求建立人工智能教育应用安全保障制度，强调应用导向、试点先行、可信可控。[4] 我们的嵌入式教学流程恰好满足试点条件：边界清晰、数据可控、结果可观察、周期可重复，并且每个环节都有天然的证据。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2.4 为什么先做教学，而不是直接做企业合规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教学试点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直接进入企业合规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责任边界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教师保留最终验收权，系统错误可及时纠正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结论可能影响经营与审批，错误责任更高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数据条件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任务、作业、代码、图片和测试结果容易获得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企业资料分散且包含商业秘密，接入成本高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迭代速度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一个学期产生大量可重复事件，便于比较改版效果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审批和经营周期较长，早期样本稀疏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信任门槛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可从内部真实用户开始，不需要先完成企业销售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企业需要先证明专业性、安全性和责任机制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46"/>
            <w:shd w:fill="E8F6F2"/>
            <w:tcBorders>
              <w:top w:val="nil"/>
              <w:left w:val="single" w:sz="18" w:color="1B998B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22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3"/>
              </w:rPr>
              <w:t>立项判断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202B33"/>
                <w:sz w:val="21"/>
              </w:rPr>
              <w:t>先做教学不是绕路，而是在低责任场景中验证最难复制的部分：流程建模、实时状态、风险升级、证据闭环和人机协同。企业合规阶段真正新增的是法规知识、地区差异和专业责任，不应与底层产品验证混在同一轮完成。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907" w:right="1247" w:bottom="850" w:left="1247" w:header="720" w:footer="720" w:gutter="0"/>
          <w:cols w:space="720"/>
          <w:titlePg/>
          <w:docGrid w:linePitch="360"/>
        </w:sectPr>
      </w:pP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三、首个真实沙盘：嵌入式开发教学流程</w:t>
      </w:r>
    </w:p>
    <w:p>
      <w:pPr>
        <w:spacing w:before="0" w:after="4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252000" cy="4123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791020-8a71-455f-81d7-5f7fc0aa51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12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Noto Sans CJK SC" w:hAnsi="Noto Sans CJK SC" w:eastAsia="Noto Sans CJK SC"/>
          <w:color w:val="5B6770"/>
          <w:sz w:val="18"/>
        </w:rPr>
        <w:t>图 1  现有嵌入式开发教学路线：包含前置依赖、打样等待期、并行学习、焊接调试、算法实现与返工节点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这不是一张普通课程目录，而是一张“任务依赖图”。51开发板打样和元件采购会产生等待期；学生可以在等待期间学习 C 语言。完成 51 单片机大作业后，才能进入 STM32 核心板；心电、呼吸、血氧模块之间既有技能继承，也有采购、焊接、算法和上位机开发的并行关系。任何跳步、阻塞或返工都会改变后续计划。</w:t>
      </w:r>
    </w:p>
    <w:p>
      <w:pPr>
        <w:sectPr>
          <w:pgSz w:w="15840" w:h="12240" w:orient="landscape"/>
          <w:pgMar w:top="794" w:right="850" w:bottom="680" w:left="850" w:header="720" w:footer="720" w:gutter="0"/>
          <w:cols w:space="720"/>
          <w:titlePg/>
          <w:docGrid w:linePitch="360"/>
        </w:sectPr>
      </w:pP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3.1 教学流程与企业 OCC 的结构同构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教学中的现象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OCC 抽象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未来企业映射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51 大作业完成后才能进入 STM32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硬前置依赖与准入闸门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营业执照、场地、检测或许可完成后才能进入下一经营阶段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等待 PCB 打样期间学习算法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等待期容量回收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等待审批、检测或供应商交付时安排客户调研、融资材料和供应链预审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焊接持续报错需要回炉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异常模式与能力缺口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连续不合规发票、材料多次退回或项目持续超支触发人工专家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多人共享示波器和实验室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稀缺资源排程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共享设备、检测资源、专家时段和供应商产能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作业、代码、照片和测试结果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证据驱动的状态转换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合同、发票、检测报告、许可证、会议决议和审批回执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教师允许特殊情况跳过或返工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人工覆盖与责任留痕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合规官、律师、财税或管理者审批例外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课程路线按学生基础调整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动态路径规划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企业因行业、地区、股权、产品和客户类型生成不同任务图</w:t>
            </w:r>
          </w:p>
        </w:tc>
      </w:tr>
    </w:tbl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3.2 第一阶段必须验证的五件事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流程即代码：系统能否把课程路线表达为节点、依赖、状态、证据和权限，而不是把流程藏在提示词里。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动态调度：学生进度不同、PCB 交期变化、设备冲突或返工发生时，系统能否重排后续任务。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等待期管理：系统能否识别空窗，并推送与主线一致、不会造成认知打断的高价值任务。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风险升级：系统能否区分普通卡顿、持续异常和必须由教师处理的红色风险。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人机责任边界：系统能否做到“建议由 Agent 生成，关键状态由证据和规则决定，重大例外由人批准”。</w:t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四、产品定位与边界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412"/>
            <w:shd w:fill="FFF6DA"/>
            <w:tcBorders>
              <w:top w:val="nil"/>
              <w:left w:val="single" w:sz="18" w:color="F4B942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22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3"/>
              </w:rPr>
              <w:t>项目定位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202B33"/>
                <w:sz w:val="21"/>
              </w:rPr>
              <w:t>它不是聊天机器人，不是课程资料库，也不是换皮项目管理软件。它是面向具体领域的流程操作系统：持续维护“人—任务—证据—资源—风险”之间的关系。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4.1 我们要做什么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把复杂流程转化为可执行、可追踪、可重排的有向任务图。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为每个参与者维护实时状态和能力画像，生成下一步行动而不是只给知识答案。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把提交物、照片、代码、测试报告和教师确认作为状态变化的证据。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在等待、延误、重复失败和资源冲突发生时主动介入。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将所有关键建议、人工覆盖和状态变化写入审计日志。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4.2 第一版明确不做什么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不建设面向多个行业的通用合规数据库。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不让大模型自动决定学生最终成绩，也不让它在未来自动给出具有法律责任的最终合规结论。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不做自动向政府系统提交申请的 RPA。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不提前建设供应商、人才和设备撮合平台。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不把课程所有细节一次性录入；先跑通一条主线，再扩展分支。</w:t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五、系统设计原则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5.1 双轨架构：概率智能与确定性控制分离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稳定性是这个项目的第一要求。大语言模型擅长理解自然语言、解释复杂情况、归纳故障和生成计划，但不适合成为唯一的状态数据库，也不适合独立决定不可逆动作。系统应当把“理解”和“控制”拆开：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适合承担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不得独立承担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8"/>
              </w:rPr>
              <w:t>大模型与 Agent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8"/>
              </w:rPr>
              <w:t>理解输入、查询知识、生成计划、解释原因、提出风险假设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8"/>
              </w:rPr>
              <w:t>绕过前置条件、修改关键状态、批准例外、删除证据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8"/>
              </w:rPr>
              <w:t>工作流/规则内核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8"/>
              </w:rPr>
              <w:t>状态机、依赖检查、权限、定时器、资源冲突、日志和版本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8"/>
              </w:rPr>
              <w:t>开放式解释、复杂语义判断、个性化辅导</w:t>
            </w:r>
          </w:p>
        </w:tc>
      </w:tr>
    </w:tbl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换句话说：Agent 可以提出“你可能已经具备进入 STM32 阶段的条件”，但只有当 51 大作业、教师验收和规定证据都存在时，流程内核才真正放行。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5.2 证据优先，而不是对话优先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系统的长期价值来自可验证数据，而不是聊天记录。每个关键节点都要定义最小证据集合，例如代码仓库提交、PCB 文件、采购记录、焊接照片、测试波形、作业文件和教师验收。对话可以解释证据，但不能替代证据。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5.3 人工介入是产品功能，不是系统失败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在教学和企业合规中，真正危险的不是系统承认“不确定”，而是系统在不确定时仍然自信地推进。第一版应主动标记低置信度、规则冲突和证据不足，把问题升级到教师或专家，并记录最终裁决。</w:t>
      </w:r>
    </w:p>
    <w:p>
      <w:pPr>
        <w:spacing w:before="0" w:after="4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983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Noto Sans CJK SC" w:hAnsi="Noto Sans CJK SC" w:eastAsia="Noto Sans CJK SC"/>
          <w:color w:val="5B6770"/>
          <w:sz w:val="18"/>
        </w:rPr>
        <w:t>图 2  创序 OCC 的基本闭环：系统持续重排流程，而不是一次性生成计划</w:t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六、MVP 功能结构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6.1 学生端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入场评估：已有硬件、编程、焊接和算法基础，当前设备与时间条件。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今日行动：只展示当前可执行任务、阻塞原因和建议投入时间。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路线地图：看到整个路径，但对未满足前置条件的节点明确锁定。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证据提交：上传文件、照片、仓库链接、测试结果和简短复盘。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智能辅导：基于当前节点和历史错误回答问题，并引用课程知识库。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等待期任务：在采购、打样和教师审核期间自动安排不冲突的学习。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6.2 教师端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全班雷达：按正常、等待、阻塞、风险和待审核查看学生。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干预队列：只处理需要人工判断的问题，普通提醒由系统承担。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节点验收：查看证据、通过、退回、附加条件或设置例外。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风险规则：配置连续失败次数、逾期阈值、设备冲突和关键错误模式。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流程编辑：以图形化方式修改节点、依赖、材料和课程资源。</w:t>
      </w:r>
    </w:p>
    <w:p>
      <w:pPr>
        <w:pStyle w:val="ListBullet"/>
        <w:spacing w:before="0" w:after="80" w:line="324" w:lineRule="auto"/>
      </w:pPr>
      <w:r>
        <w:rPr>
          <w:rFonts w:ascii="Noto Sans CJK SC" w:hAnsi="Noto Sans CJK SC" w:eastAsia="Noto Sans CJK SC"/>
        </w:rPr>
        <w:t>复盘报告：查看哪些节点最容易返工，哪些资源最拥堵，哪些知识点最缺失。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6.3 OCC 核心模块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第一版实现重点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流程图引擎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维护节点、依赖、分支和并行关系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支持硬前置、软建议、等待和返工边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状态机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管理未开始、进行中、等待、阻塞、待审核、完成、返工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所有状态变化带操作者、时间和原因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规则引擎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检查准入条件、时限和风险阈值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关键规则不写在提示词中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调度器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根据可用时间、资源和交期安排任务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优先解决等待期与设备冲突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知识/RAG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检索课程资料、故障案例和模板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回答必须显示来源与版本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Agent 编排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规划、辅导、核验、风险和监督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Agent 之间通过结构化事件协作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证据仓库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保存文件、链接、版本和验收记录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证据与任务节点强绑定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审计与权限</w:t>
            </w:r>
          </w:p>
        </w:tc>
        <w:tc>
          <w:tcPr>
            <w:tcW w:type="dxa" w:w="345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记录关键操作和人工覆盖</w:t>
            </w:r>
          </w:p>
        </w:tc>
        <w:tc>
          <w:tcPr>
            <w:tcW w:type="dxa" w:w="36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教师、学生、管理员分权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七、多 Agent 角色设计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多 Agent 的价值不在“多”，而在职责隔离。第一版建议控制在五个角色内，所有 Agent 共享同一流程状态和证据索引，禁止各自维护互相冲突的私有事实。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规划 Agent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当前状态、能力画像、任务图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本周/今日建议和等待期安排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只能建议，不能放行节点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辅导 Agent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当前任务、知识库、错误记录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解释、排障步骤、练习资源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必须引用来源；不替学生完成关键作业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核验 Agent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提交物、验收标准、历史版本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证据完整性检查和疑点清单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不能替代教师做最终验收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风险 Agent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逾期、连续失败、冲突、异常文本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风险级别、原因和升级对象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高风险必须进入人工队列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监督 Agent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其他 Agent 输出、规则、权限</w:t>
            </w:r>
          </w:p>
        </w:tc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发现越权、无依据和相互矛盾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只拦截和记录，不直接修改业务事实</w:t>
            </w:r>
          </w:p>
        </w:tc>
      </w:tr>
    </w:tbl>
    <w:p>
      <w:pPr>
        <w:spacing w:before="0" w:after="4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88000" cy="2302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0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Noto Sans CJK SC" w:hAnsi="Noto Sans CJK SC" w:eastAsia="Noto Sans CJK SC"/>
          <w:color w:val="5B6770"/>
          <w:sz w:val="18"/>
        </w:rPr>
        <w:t>图 3  推荐架构：智能层与流程控制层分离，关键动作保留人工闸门</w:t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八、核心数据模型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MVP 不需要复杂的企业级主数据平台，但必须从一开始使用结构化对象。否则系统会迅速退化成“每次都重新读聊天记录”。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参与者画像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基础技能、目标、可用时间、设备、历史表现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决定路线难度和任务容量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项目实例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所属课程、当前版本、开始日期、目标日期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承载每名学生的独立流程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任务节点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类型、状态、负责人、前置条件、截止时间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最小执行单元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依赖边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硬前置、软建议、资源、时间、证据、审核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表达复杂关系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证据对象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文件、链接、版本、提交人、时间、哈希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支持验收与审计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事件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状态变化、提醒、失败、资源变更、人工决定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触发 Agent 和规则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风险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等级、原因、置信度、处置时限、责任人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形成干预队列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资源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设备、实验室、教师时段、元器件和供应商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支持排程与冲突检测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九、真实部署方案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9.1 试点范围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第一轮选择 10—20 名学生，覆盖“51 单片机基础 → STM32 核心板 → 一个医学电子模块”的主路径。心电、呼吸和血氧三条分支不必同时完全自动化；优先选择资料最完整、教师最熟悉的一条作为首个闭环。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9.2 16 周实施节奏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验收物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0. 基线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第1—2周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记录现有沟通量、返工、等待和完成数据；冻结首条流程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基线报告、节点清单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1. 流程数字化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第3—4周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建立状态、依赖、证据和风险规则；完成低保真界面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可运行流程定义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2. OCC 内核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第5—8周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开发任务图、状态机、提交、审核、提醒和审计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无 Agent 也能完整跑通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3. 智能层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第9—11周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接入 RAG、辅导、计划、核验和风险 Agent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带来源的智能建议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4. 小规模试点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第12—13周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5 名学生先行，修复流程和权限问题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首轮闭环数据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5. 扩大试点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第14—15周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扩大到 10—20 人，教师端正式使用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班级运行报告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6. 复盘决策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第16周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评估指标、确定下一学期和企业映射计划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是否继续投入的决策包</w:t>
            </w:r>
          </w:p>
        </w:tc>
      </w:tr>
    </w:tbl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9.3 上线顺序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先上线“只读雷达”：系统采集状态、生成建议，但不拦截学生操作。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再上线“软闸门”：跳步时提示风险，教师可一键放行。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最后上线“硬闸门”：仅对已经验证稳定的关键节点强制证据和审批。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任何新规则先以观察模式运行一轮，确认误报率后再进入强制模式。</w:t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十、成功标准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第一轮试点不是证明“AI 很聪明”，而是证明系统对真实教学产生净收益。上线前必须记录基线，所有目标均以同一课程、相近学生规模的历史数据为参照。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建议目标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意义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关键节点证据完整率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≥95%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证明状态不是靠口头汇报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违规跳步拦截率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≥90%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验证依赖和规则引擎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教师重复催办时间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下降≥30%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直接验证注意力保护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等待期高价值任务覆盖率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≥70%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验证调度与空窗利用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红色风险漏报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0 个已知严重事件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高风险优先保证召回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风险提醒误报率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≤20%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避免教师被告警淹没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学生周活跃率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≥80%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证明系统进入真实工作流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流程修改后生效时间</w:t>
            </w:r>
          </w:p>
        </w:tc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≤1个工作日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证明课程可由教师维护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十一、从教学走向企业的商业路径</w:t>
      </w:r>
    </w:p>
    <w:p>
      <w:pPr>
        <w:spacing w:before="0" w:after="4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2061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Noto Sans CJK SC" w:hAnsi="Noto Sans CJK SC" w:eastAsia="Noto Sans CJK SC"/>
          <w:color w:val="5B6770"/>
          <w:sz w:val="18"/>
        </w:rPr>
        <w:t>图 4  三阶段增长路径：先验证控制内核，再进入高责任场景，最后形成资源网络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11.1 阶段一：教学 OCC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收入对象可以是高校实验课程、职业培训机构、企业内部工程培训和项目制学习基地。收费方式以部署费、课程流程配置费和按学期订阅为主。这个阶段的核心不是快速赚钱，而是积累可复用的流程内核、真实事件数据和教师信任。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11.2 阶段二：垂直行业合规 OCC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企业场景必须从单一行业切入，优先考虑团队熟悉且流程复杂的医疗器械初创企业。产品不承诺替代律师、注册专员或质量负责人，而是承担事项识别、动态清单、材料版本、期限、依赖、等待期任务和专家升级。法规知识必须按地区、产品分类和生效日期版本化，关键结论由持证或有经验的专业人员确认。</w:t>
      </w:r>
    </w:p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11.3 阶段三：能力画像与资源网络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当平台能够持续掌握企业经过授权的真实进度，才有条件生成可信能力标签：谁刚完成某项检测、谁拥有闲置设备、谁进入采购阶段、谁需要注册专家。届时可以开展集采、设备共享、专家对接和上下游撮合。这个阶段依赖足够的企业密度，不能作为第一版的增长故事提前透支。</w:t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十二、竞争位置与护城河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回答问题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管理任务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理解领域依赖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形成证据闭环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通用大模型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强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弱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依赖提示词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飞书/Jira 类工具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弱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强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需人工配置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传统咨询/教师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强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依赖人力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强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不一定结构化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创序 OCC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强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强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流程图+规则+RAG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强</w:t>
            </w:r>
          </w:p>
        </w:tc>
      </w:tr>
    </w:tbl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真正的护城河不是模型本身，而是四类资产：经过验证的领域流程图；任务与结果之间的事件数据；可追溯的证据和规则版本；愿意对关键节点负责的教师与专家网络。模型可以替换，这些资产会随着真实部署持续增值。</w:t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十三、风险与治理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C44536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C44536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可能后果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C44536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设计控制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模型幻觉或错误建议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学生走错路线，未来企业产生合规风险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引用来源、置信度、规则闸门、人工复核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规则过期或配置错误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错误拦截或漏放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版本管理、观察模式、回归测试、变更审批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过度自动化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教师失去掌控，用户不信任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默认建议模式，逐步引入软/硬闸门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学生数据与企业秘密泄露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隐私、知识产权和商业风险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最小采集、分权、加密、脱敏、保留期限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AI 影响公平评价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学生因工具使用差异被误判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AI 不作为唯一评分依据，教师保留最终权力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告警疲劳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关键风险被噪声掩盖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分级、合并、静默窗口、误报指标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供应商模型依赖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成本或服务变化影响系统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模型适配层、可替换模型、关键功能降级运行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场景扩张过快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同时维护太多规则导致失败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坚持单路径、单课程、单行业逐步扩张</w:t>
            </w:r>
          </w:p>
        </w:tc>
      </w:tr>
    </w:tbl>
    <w:p>
      <w:pPr>
        <w:pStyle w:val="Heading2"/>
        <w:spacing w:before="160" w:after="120" w:line="276" w:lineRule="auto"/>
      </w:pPr>
      <w:r>
        <w:rPr>
          <w:rFonts w:ascii="Noto Sans CJK SC" w:hAnsi="Noto Sans CJK SC" w:eastAsia="Noto Sans CJK SC"/>
          <w:b/>
          <w:color w:val="202B33"/>
        </w:rPr>
        <w:t>13.1 与生成式人工智能监管的关系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根据《生成式人工智能服务管理暂行办法》，教育和科研机构在未向境内公众提供生成式人工智能服务时，不适用该办法的公众服务范围；但个人信息、数据安全、知识产权和内容可靠性义务仍然需要通过产品治理落实。[5] 如果后续向公众提供生成式服务，则需要重新评估备案、安全评估、用户协议和内容治理义务。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自2025年9月1日起施行的人工智能生成合成内容标识规则，对符合适用范围的网络信息服务提供者提出显式和隐式标识要求。[6] 第一阶段虽然主要生成内部任务和辅导文本，也应从一开始保留“由 AI 生成/辅助”的标记和日志，以便未来扩展时不必返工。</w:t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十四、团队分工与项目治理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主要责任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首期投入方式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产品/流程负责人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冻结教学流程、确定状态和验收、访谈用户、控制范围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由发起人承担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技术负责人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工作流内核、数据模型、Agent 编排、权限和部署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由联合创始人或核心工程师承担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教学领域负责人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课程资源、风险规则、教师工作台和验收标准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由实际授课/项目负责人承担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前端与体验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学生端、教师端、可视化流程和移动适配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可兼职或阶段性外协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数据与测试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基线、指标、回归用例、提示词与规则评测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由团队共同负责，指定一名 owner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顾问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教育数据、隐私、安全和后续行业合规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按节点引入，不提前扩充固定团队</w:t>
            </w:r>
          </w:p>
        </w:tc>
      </w:tr>
    </w:tbl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项目自身也应采用 OCC 方式管理：每周一次 60 分钟决策会，只讨论指标、阻塞和需要拍板的事项；日常状态由系统记录，不靠会议重复汇报。关键范围变更必须写清“新增价值、增加周期、替代掉什么”。</w:t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十五、预算与资源估算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以下是创始团队自行开发、首期 16 周、不计创始人人力成本的现金预算。它是用于内部决策的规划值，不是外包报价。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建议区间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B998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云服务器、数据库与存储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¥2,000—¥6,000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试点规模小，重点保留日志与备份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模型 API 与评测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¥3,000—¥12,000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取决于文档解析、对话量和是否使用多模型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界面设计与前端辅助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¥3,000—¥10,000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团队能自行完成则可显著降低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数据整理、课程材料数字化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¥2,000—¥5,000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包括模板、案例、标注和验收标准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安全、域名、通知与杂项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¥1,000—¥3,000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短信/邮件、监控、证书等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预备金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¥4,000—¥6,000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7"/>
              </w:rPr>
              <w:t>用于设备接口、试点激励和突发费用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412"/>
            <w:shd w:fill="E8F6F2"/>
            <w:tcBorders>
              <w:top w:val="nil"/>
              <w:left w:val="single" w:sz="18" w:color="1B998B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22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3"/>
              </w:rPr>
              <w:t>首期现金预算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202B33"/>
                <w:sz w:val="21"/>
              </w:rPr>
              <w:t>建议控制在 ¥15,000—¥42,000。第一阶段不建议整体外包，因为最核心的资产是团队对流程和数据边界的理解，外包只能补充界面或局部工程能力。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十六、我们现在需要共同做出的决定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确认“先做教学 OCC、真实部署”的路线不再摇摆，企业合规只保留架构兼容性。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选定首个闭环分支：建议从资料最完整的一条医学电子模块路线开始。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确定一名实际教学负责人和 10—20 名试点学生。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用两周时间记录基线，不凭印象判断系统是否有效。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冻结第一版功能：流程、状态、证据、审核、提醒、风险和基础 RAG；其余功能进入待办池。</w:t>
      </w:r>
    </w:p>
    <w:p>
      <w:pPr>
        <w:pStyle w:val="ListNumber"/>
        <w:spacing w:before="0" w:after="80" w:line="324" w:lineRule="auto"/>
      </w:pPr>
      <w:r>
        <w:rPr>
          <w:rFonts w:ascii="Noto Sans CJK SC" w:hAnsi="Noto Sans CJK SC" w:eastAsia="Noto Sans CJK SC"/>
        </w:rPr>
        <w:t>明确谁拥有数据、谁能看什么、哪些信息可以送入外部模型。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412"/>
            <w:shd w:fill="FFF6DA"/>
            <w:tcBorders>
              <w:top w:val="nil"/>
              <w:left w:val="single" w:sz="18" w:color="F4B942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22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3"/>
              </w:rPr>
              <w:t>推荐的开工动作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202B33"/>
                <w:sz w:val="21"/>
              </w:rPr>
              <w:t>本周不写 Agent。先把现有流程图拆成一张结构化表：每个节点的进入条件、完成证据、常见失败、等待时间、可并行任务和教师审批要求。只要这张表成立，后面的产品、数据库和 Agent 才有共同的事实基础。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十七、结语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我们不是要做一个“什么都能管”的大模型平台。第一步只是把眼前这条复杂教学路线管得比人工更稳定、更透明、更省注意力。它必须真的被学生使用，真的被教师依赖，真的能在打样延期、焊接失败、设备冲突和进度分化时保持秩序。</w:t>
      </w:r>
    </w:p>
    <w:p>
      <w:pPr>
        <w:pStyle w:val="BodyText"/>
        <w:spacing w:before="0" w:after="140" w:line="348" w:lineRule="auto"/>
      </w:pPr>
      <w:r>
        <w:rPr>
          <w:rFonts w:ascii="Noto Sans CJK SC" w:hAnsi="Noto Sans CJK SC" w:eastAsia="Noto Sans CJK SC"/>
        </w:rPr>
        <w:t>如果这一步成功，我们就拥有了一种可以向外复制的能力：把一个混乱、依赖专家记忆的流程，转化为可执行、可审计、可持续优化的系统。以后面对初创企业的注册、审批、合规、项目推进和资源对接，我们不是从零开始，而是在更换领域知识之后继续使用同一套控制思想。</w:t>
      </w:r>
    </w:p>
    <w:p>
      <w:pPr>
        <w:spacing w:before="360" w:after="100" w:line="336" w:lineRule="auto"/>
        <w:jc w:val="center"/>
      </w:pPr>
      <w:r>
        <w:rPr>
          <w:rFonts w:ascii="Noto Sans CJK SC" w:hAnsi="Noto Sans CJK SC" w:eastAsia="Noto Sans CJK SC"/>
          <w:b/>
          <w:color w:val="1B998B"/>
          <w:sz w:val="36"/>
        </w:rPr>
        <w:t>让系统管理流程，让人保留判断。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附录 A：首批规则示例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系统动作</w:t>
            </w:r>
          </w:p>
        </w:tc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fill="16324F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人工动作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学生申请进入 STM32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51 大作业未验收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阻止进入并显示缺失证据</w:t>
            </w:r>
          </w:p>
        </w:tc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教师可注明理由临时放行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PCB 进入打样等待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预计等待超过 3 天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安排 C/算法/文档任务</w:t>
            </w:r>
          </w:p>
        </w:tc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同一焊接节点连续失败 3 次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错误类型重复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升级黄色风险并推荐专项资料</w:t>
            </w:r>
          </w:p>
        </w:tc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教师检查工具、技能或器件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关键测试数据缺失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提交物不含波形/日志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退回证据补充</w:t>
            </w:r>
          </w:p>
        </w:tc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必要时现场复测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设备预约冲突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同一时段多人占用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建议改期或替代设备</w:t>
            </w:r>
          </w:p>
        </w:tc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资源管理员确认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学生 7 天无有效事件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非正式假期且存在可执行任务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提醒学生并标记停滞</w:t>
            </w:r>
          </w:p>
        </w:tc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教师决定是否干预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Agent 输出无引用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回答涉及课程规则或关键操作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监督 Agent 拦截并重新检索</w:t>
            </w:r>
          </w:p>
        </w:tc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多次失败时人工回答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教师修改关键规则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影响已运行项目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先进入观察模式并生成影响列表</w:t>
            </w:r>
          </w:p>
        </w:tc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B33"/>
                <w:sz w:val="16"/>
              </w:rPr>
              <w:t>负责人确认后生效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ans CJK SC" w:hAnsi="Noto Sans CJK SC" w:eastAsia="Noto Sans CJK SC"/>
          <w:b/>
          <w:color w:val="16324F"/>
        </w:rPr>
        <w:t>附录 B：参考资料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/>
          <w:color w:val="16324F"/>
          <w:sz w:val="19"/>
        </w:rPr>
        <w:t xml:space="preserve">[1] </w:t>
      </w:r>
      <w:r>
        <w:rPr>
          <w:rFonts w:ascii="Noto Sans CJK SC" w:hAnsi="Noto Sans CJK SC" w:eastAsia="Noto Sans CJK SC"/>
          <w:color w:val="202B33"/>
          <w:sz w:val="19"/>
        </w:rPr>
        <w:t xml:space="preserve">国家发展改革委：《市场准入负面清单（2025年版）》及答记者问，2025年4月。 </w:t>
      </w:r>
      <w:hyperlink r:id="rId16">
        <w:r>
          <w:rPr>
            <w:color w:val="3D7EA6"/>
            <w:u w:val="single"/>
            <w:rFonts w:ascii="Noto Sans CJK SC" w:hAnsi="Noto Sans CJK SC" w:eastAsia="Noto Sans CJK SC"/>
          </w:rPr>
          <w:t>查看原文</w:t>
        </w:r>
      </w:hyperlink>
    </w:p>
    <w:p>
      <w:pPr>
        <w:spacing w:before="0" w:after="140" w:line="324" w:lineRule="auto"/>
      </w:pPr>
      <w:r>
        <w:rPr>
          <w:rFonts w:ascii="Noto Sans CJK SC" w:hAnsi="Noto Sans CJK SC" w:eastAsia="Noto Sans CJK SC"/>
          <w:b/>
          <w:color w:val="16324F"/>
          <w:sz w:val="19"/>
        </w:rPr>
        <w:t xml:space="preserve">[2] </w:t>
      </w:r>
      <w:r>
        <w:rPr>
          <w:rFonts w:ascii="Noto Sans CJK SC" w:hAnsi="Noto Sans CJK SC" w:eastAsia="Noto Sans CJK SC"/>
          <w:color w:val="202B33"/>
          <w:sz w:val="19"/>
        </w:rPr>
        <w:t xml:space="preserve">国家政务服务平台：“高效办成一件事”2024年重点事项清单。 </w:t>
      </w:r>
      <w:hyperlink r:id="rId17">
        <w:r>
          <w:rPr>
            <w:color w:val="3D7EA6"/>
            <w:u w:val="single"/>
            <w:rFonts w:ascii="Noto Sans CJK SC" w:hAnsi="Noto Sans CJK SC" w:eastAsia="Noto Sans CJK SC"/>
          </w:rPr>
          <w:t>查看原文</w:t>
        </w:r>
      </w:hyperlink>
    </w:p>
    <w:p>
      <w:pPr>
        <w:spacing w:before="0" w:after="140" w:line="324" w:lineRule="auto"/>
      </w:pPr>
      <w:r>
        <w:rPr>
          <w:rFonts w:ascii="Noto Sans CJK SC" w:hAnsi="Noto Sans CJK SC" w:eastAsia="Noto Sans CJK SC"/>
          <w:b/>
          <w:color w:val="16324F"/>
          <w:sz w:val="19"/>
        </w:rPr>
        <w:t xml:space="preserve">[3] </w:t>
      </w:r>
      <w:r>
        <w:rPr>
          <w:rFonts w:ascii="Noto Sans CJK SC" w:hAnsi="Noto Sans CJK SC" w:eastAsia="Noto Sans CJK SC"/>
          <w:color w:val="202B33"/>
          <w:sz w:val="19"/>
        </w:rPr>
        <w:t xml:space="preserve">中国中小企业发展促进中心：《2025年度中小企业发展环境评估报告》，工信部网站，2026年4月发布。 </w:t>
      </w:r>
      <w:hyperlink r:id="rId18">
        <w:r>
          <w:rPr>
            <w:color w:val="3D7EA6"/>
            <w:u w:val="single"/>
            <w:rFonts w:ascii="Noto Sans CJK SC" w:hAnsi="Noto Sans CJK SC" w:eastAsia="Noto Sans CJK SC"/>
          </w:rPr>
          <w:t>查看原文</w:t>
        </w:r>
      </w:hyperlink>
    </w:p>
    <w:p>
      <w:pPr>
        <w:spacing w:before="0" w:after="140" w:line="324" w:lineRule="auto"/>
      </w:pPr>
      <w:r>
        <w:rPr>
          <w:rFonts w:ascii="Noto Sans CJK SC" w:hAnsi="Noto Sans CJK SC" w:eastAsia="Noto Sans CJK SC"/>
          <w:b/>
          <w:color w:val="16324F"/>
          <w:sz w:val="19"/>
        </w:rPr>
        <w:t xml:space="preserve">[4] </w:t>
      </w:r>
      <w:r>
        <w:rPr>
          <w:rFonts w:ascii="Noto Sans CJK SC" w:hAnsi="Noto Sans CJK SC" w:eastAsia="Noto Sans CJK SC"/>
          <w:color w:val="202B33"/>
          <w:sz w:val="19"/>
        </w:rPr>
        <w:t xml:space="preserve">教育部等九部门：《关于加快推进教育数字化的意见》，2025年4月。 </w:t>
      </w:r>
      <w:hyperlink r:id="rId19">
        <w:r>
          <w:rPr>
            <w:color w:val="3D7EA6"/>
            <w:u w:val="single"/>
            <w:rFonts w:ascii="Noto Sans CJK SC" w:hAnsi="Noto Sans CJK SC" w:eastAsia="Noto Sans CJK SC"/>
          </w:rPr>
          <w:t>查看原文</w:t>
        </w:r>
      </w:hyperlink>
    </w:p>
    <w:p>
      <w:pPr>
        <w:spacing w:before="0" w:after="140" w:line="324" w:lineRule="auto"/>
      </w:pPr>
      <w:r>
        <w:rPr>
          <w:rFonts w:ascii="Noto Sans CJK SC" w:hAnsi="Noto Sans CJK SC" w:eastAsia="Noto Sans CJK SC"/>
          <w:b/>
          <w:color w:val="16324F"/>
          <w:sz w:val="19"/>
        </w:rPr>
        <w:t xml:space="preserve">[5] </w:t>
      </w:r>
      <w:r>
        <w:rPr>
          <w:rFonts w:ascii="Noto Sans CJK SC" w:hAnsi="Noto Sans CJK SC" w:eastAsia="Noto Sans CJK SC"/>
          <w:color w:val="202B33"/>
          <w:sz w:val="19"/>
        </w:rPr>
        <w:t xml:space="preserve">国家互联网信息办公室等七部门：《生成式人工智能服务管理暂行办法》，2023年7月。 </w:t>
      </w:r>
      <w:hyperlink r:id="rId20">
        <w:r>
          <w:rPr>
            <w:color w:val="3D7EA6"/>
            <w:u w:val="single"/>
            <w:rFonts w:ascii="Noto Sans CJK SC" w:hAnsi="Noto Sans CJK SC" w:eastAsia="Noto Sans CJK SC"/>
          </w:rPr>
          <w:t>查看原文</w:t>
        </w:r>
      </w:hyperlink>
    </w:p>
    <w:p>
      <w:pPr>
        <w:spacing w:before="0" w:after="140" w:line="324" w:lineRule="auto"/>
      </w:pPr>
      <w:r>
        <w:rPr>
          <w:rFonts w:ascii="Noto Sans CJK SC" w:hAnsi="Noto Sans CJK SC" w:eastAsia="Noto Sans CJK SC"/>
          <w:b/>
          <w:color w:val="16324F"/>
          <w:sz w:val="19"/>
        </w:rPr>
        <w:t xml:space="preserve">[6] </w:t>
      </w:r>
      <w:r>
        <w:rPr>
          <w:rFonts w:ascii="Noto Sans CJK SC" w:hAnsi="Noto Sans CJK SC" w:eastAsia="Noto Sans CJK SC"/>
          <w:color w:val="202B33"/>
          <w:sz w:val="19"/>
        </w:rPr>
        <w:t xml:space="preserve">国家互联网信息办公室等四部门：《人工智能生成合成内容标识办法》及答记者问，2025年3月。 </w:t>
      </w:r>
      <w:hyperlink r:id="rId21">
        <w:r>
          <w:rPr>
            <w:color w:val="3D7EA6"/>
            <w:u w:val="single"/>
            <w:rFonts w:ascii="Noto Sans CJK SC" w:hAnsi="Noto Sans CJK SC" w:eastAsia="Noto Sans CJK SC"/>
          </w:rPr>
          <w:t>查看原文</w:t>
        </w:r>
      </w:hyperlink>
    </w:p>
    <w:p>
      <w:pPr>
        <w:spacing w:before="0" w:after="140" w:line="324" w:lineRule="auto"/>
      </w:pPr>
      <w:r>
        <w:rPr>
          <w:rFonts w:ascii="Noto Sans CJK SC" w:hAnsi="Noto Sans CJK SC" w:eastAsia="Noto Sans CJK SC"/>
          <w:b/>
          <w:color w:val="16324F"/>
          <w:sz w:val="19"/>
        </w:rPr>
        <w:t xml:space="preserve">[7] </w:t>
      </w:r>
      <w:r>
        <w:rPr>
          <w:rFonts w:ascii="Noto Sans CJK SC" w:hAnsi="Noto Sans CJK SC" w:eastAsia="Noto Sans CJK SC"/>
          <w:color w:val="202B33"/>
          <w:sz w:val="19"/>
        </w:rPr>
        <w:t xml:space="preserve">全国人大常委会：《国务院关于促进民营经济发展情况的报告》，2024年6月。 </w:t>
      </w:r>
      <w:hyperlink r:id="rId22">
        <w:r>
          <w:rPr>
            <w:color w:val="3D7EA6"/>
            <w:u w:val="single"/>
            <w:rFonts w:ascii="Noto Sans CJK SC" w:hAnsi="Noto Sans CJK SC" w:eastAsia="Noto Sans CJK SC"/>
          </w:rPr>
          <w:t>查看原文</w:t>
        </w:r>
      </w:hyperlink>
    </w:p>
    <w:sectPr w:rsidR="00FC693F" w:rsidRPr="0006063C" w:rsidSect="00034616">
      <w:pgSz w:w="11906" w:h="16838"/>
      <w:pgMar w:top="907" w:right="1247" w:bottom="85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B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CJK SC" w:hAnsi="Noto Sans CJK SC" w:eastAsia="Noto Sans CJK SC"/>
        <w:color w:val="8A98A0"/>
        <w:sz w:val="17"/>
      </w:rPr>
      <w:t>创序 OCC · 项目企划书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B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B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drc.gov.cn/xwdt/ztzl/sczrfmqd/zcjddd2/202504/t20250423_1397357.html" TargetMode="External"/><Relationship Id="rId17" Type="http://schemas.openxmlformats.org/officeDocument/2006/relationships/hyperlink" Target="https://gjzwfw.www.gov.cn/col/col1466/index.html" TargetMode="External"/><Relationship Id="rId18" Type="http://schemas.openxmlformats.org/officeDocument/2006/relationships/hyperlink" Target="https://wap.miit.gov.cn/gyhxxhb/jgsj/zxqyj/gzjl/art/2026/art_8f6c360d9fd447c6a2e1608ddac50e65.html" TargetMode="External"/><Relationship Id="rId19" Type="http://schemas.openxmlformats.org/officeDocument/2006/relationships/hyperlink" Target="https://www.moe.gov.cn/srcsite/A01/s7048/202504/t20250416_1187476.html" TargetMode="External"/><Relationship Id="rId20" Type="http://schemas.openxmlformats.org/officeDocument/2006/relationships/hyperlink" Target="https://www.cac.gov.cn/2023-07/13/c_1690898327029107.htm" TargetMode="External"/><Relationship Id="rId21" Type="http://schemas.openxmlformats.org/officeDocument/2006/relationships/hyperlink" Target="https://www.cac.gov.cn/2025-03/14/c_1743654685896173.htm" TargetMode="External"/><Relationship Id="rId22" Type="http://schemas.openxmlformats.org/officeDocument/2006/relationships/hyperlink" Target="https://www.npc.gov.cn/c2/c30834/202406/t20240627_43779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创序 OCC 项目企划书</dc:title>
  <dc:subject>从嵌入式开发教学真实部署出发的智能运营控制系统</dc:subject>
  <dc:creator>项目发起团队</dc:creator>
  <cp:keywords>OCC, 多Agent, RAG, 嵌入式教学, 初创企业, 合规, 流程管理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