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A4CF4" w14:textId="2AAFF7FD" w:rsidR="0001284F" w:rsidRDefault="00FB1896" w:rsidP="00FB1896">
      <w:pPr>
        <w:spacing w:after="0"/>
        <w:ind w:right="12"/>
      </w:pPr>
      <w:r>
        <w:rPr>
          <w:rFonts w:ascii="Times New Roman" w:eastAsia="Times New Roman" w:hAnsi="Times New Roman" w:cs="Times New Roman"/>
          <w:b/>
          <w:color w:val="742A2A"/>
          <w:sz w:val="40"/>
        </w:rPr>
        <w:t xml:space="preserve">                              PROBLEM - SOLUTION</w:t>
      </w:r>
    </w:p>
    <w:p w14:paraId="4F770C2C" w14:textId="77777777" w:rsidR="0001284F" w:rsidRDefault="00000000">
      <w:pPr>
        <w:spacing w:after="181"/>
      </w:pPr>
      <w:r>
        <w:rPr>
          <w:noProof/>
        </w:rPr>
        <mc:AlternateContent>
          <mc:Choice Requires="wpg">
            <w:drawing>
              <wp:inline distT="0" distB="0" distL="0" distR="0" wp14:anchorId="6671AEDA" wp14:editId="324DD5A3">
                <wp:extent cx="6480000" cy="19050"/>
                <wp:effectExtent l="0" t="0" r="0" b="0"/>
                <wp:docPr id="1240" name="Group 1240"/>
                <wp:cNvGraphicFramePr/>
                <a:graphic xmlns:a="http://schemas.openxmlformats.org/drawingml/2006/main">
                  <a:graphicData uri="http://schemas.microsoft.com/office/word/2010/wordprocessingGroup">
                    <wpg:wgp>
                      <wpg:cNvGrpSpPr/>
                      <wpg:grpSpPr>
                        <a:xfrm>
                          <a:off x="0" y="0"/>
                          <a:ext cx="6480000" cy="19050"/>
                          <a:chOff x="0" y="0"/>
                          <a:chExt cx="6480000" cy="19050"/>
                        </a:xfrm>
                      </wpg:grpSpPr>
                      <wps:wsp>
                        <wps:cNvPr id="1697" name="Shape 1697"/>
                        <wps:cNvSpPr/>
                        <wps:spPr>
                          <a:xfrm>
                            <a:off x="0" y="0"/>
                            <a:ext cx="6480000" cy="19050"/>
                          </a:xfrm>
                          <a:custGeom>
                            <a:avLst/>
                            <a:gdLst/>
                            <a:ahLst/>
                            <a:cxnLst/>
                            <a:rect l="0" t="0" r="0" b="0"/>
                            <a:pathLst>
                              <a:path w="6480000" h="19050">
                                <a:moveTo>
                                  <a:pt x="0" y="0"/>
                                </a:moveTo>
                                <a:lnTo>
                                  <a:pt x="6480000" y="0"/>
                                </a:lnTo>
                                <a:lnTo>
                                  <a:pt x="6480000" y="19050"/>
                                </a:lnTo>
                                <a:lnTo>
                                  <a:pt x="0" y="19050"/>
                                </a:lnTo>
                                <a:lnTo>
                                  <a:pt x="0" y="0"/>
                                </a:lnTo>
                              </a:path>
                            </a:pathLst>
                          </a:custGeom>
                          <a:ln w="0" cap="flat">
                            <a:miter lim="127000"/>
                          </a:ln>
                        </wps:spPr>
                        <wps:style>
                          <a:lnRef idx="0">
                            <a:srgbClr val="000000">
                              <a:alpha val="0"/>
                            </a:srgbClr>
                          </a:lnRef>
                          <a:fillRef idx="1">
                            <a:srgbClr val="742A2A"/>
                          </a:fillRef>
                          <a:effectRef idx="0">
                            <a:scrgbClr r="0" g="0" b="0"/>
                          </a:effectRef>
                          <a:fontRef idx="none"/>
                        </wps:style>
                        <wps:bodyPr/>
                      </wps:wsp>
                    </wpg:wgp>
                  </a:graphicData>
                </a:graphic>
              </wp:inline>
            </w:drawing>
          </mc:Choice>
          <mc:Fallback xmlns:a="http://schemas.openxmlformats.org/drawingml/2006/main">
            <w:pict>
              <v:group id="Group 1240" style="width:510.236pt;height:1.5pt;mso-position-horizontal-relative:char;mso-position-vertical-relative:line" coordsize="64800,190">
                <v:shape id="Shape 1698" style="position:absolute;width:64800;height:190;left:0;top:0;" coordsize="6480000,19050" path="m0,0l6480000,0l6480000,19050l0,19050l0,0">
                  <v:stroke weight="0pt" endcap="flat" joinstyle="miter" miterlimit="10" on="false" color="#000000" opacity="0"/>
                  <v:fill on="true" color="#742a2a"/>
                </v:shape>
              </v:group>
            </w:pict>
          </mc:Fallback>
        </mc:AlternateContent>
      </w:r>
    </w:p>
    <w:p w14:paraId="19F51056" w14:textId="77777777" w:rsidR="00FB1896" w:rsidRDefault="00FB1896">
      <w:pPr>
        <w:pStyle w:val="Heading1"/>
        <w:ind w:left="-5"/>
      </w:pPr>
    </w:p>
    <w:p w14:paraId="13BDE224" w14:textId="2AEB24F2" w:rsidR="0001284F" w:rsidRDefault="00000000">
      <w:pPr>
        <w:pStyle w:val="Heading1"/>
        <w:ind w:left="-5"/>
      </w:pPr>
      <w:r>
        <w:rPr>
          <w:noProof/>
        </w:rPr>
        <mc:AlternateContent>
          <mc:Choice Requires="wpg">
            <w:drawing>
              <wp:inline distT="0" distB="0" distL="0" distR="0" wp14:anchorId="6F098C07" wp14:editId="5C4DE320">
                <wp:extent cx="47625" cy="284480"/>
                <wp:effectExtent l="0" t="0" r="0" b="0"/>
                <wp:docPr id="1241" name="Group 1241"/>
                <wp:cNvGraphicFramePr/>
                <a:graphic xmlns:a="http://schemas.openxmlformats.org/drawingml/2006/main">
                  <a:graphicData uri="http://schemas.microsoft.com/office/word/2010/wordprocessingGroup">
                    <wpg:wgp>
                      <wpg:cNvGrpSpPr/>
                      <wpg:grpSpPr>
                        <a:xfrm>
                          <a:off x="0" y="0"/>
                          <a:ext cx="47625" cy="284480"/>
                          <a:chOff x="0" y="0"/>
                          <a:chExt cx="47625" cy="284480"/>
                        </a:xfrm>
                      </wpg:grpSpPr>
                      <wps:wsp>
                        <wps:cNvPr id="1699" name="Shape 1699"/>
                        <wps:cNvSpPr/>
                        <wps:spPr>
                          <a:xfrm>
                            <a:off x="0" y="0"/>
                            <a:ext cx="47625" cy="284480"/>
                          </a:xfrm>
                          <a:custGeom>
                            <a:avLst/>
                            <a:gdLst/>
                            <a:ahLst/>
                            <a:cxnLst/>
                            <a:rect l="0" t="0" r="0" b="0"/>
                            <a:pathLst>
                              <a:path w="47625" h="284480">
                                <a:moveTo>
                                  <a:pt x="0" y="0"/>
                                </a:moveTo>
                                <a:lnTo>
                                  <a:pt x="47625" y="0"/>
                                </a:lnTo>
                                <a:lnTo>
                                  <a:pt x="47625" y="284480"/>
                                </a:lnTo>
                                <a:lnTo>
                                  <a:pt x="0" y="284480"/>
                                </a:lnTo>
                                <a:lnTo>
                                  <a:pt x="0" y="0"/>
                                </a:lnTo>
                              </a:path>
                            </a:pathLst>
                          </a:custGeom>
                          <a:ln w="0" cap="flat">
                            <a:miter lim="127000"/>
                          </a:ln>
                        </wps:spPr>
                        <wps:style>
                          <a:lnRef idx="0">
                            <a:srgbClr val="000000">
                              <a:alpha val="0"/>
                            </a:srgbClr>
                          </a:lnRef>
                          <a:fillRef idx="1">
                            <a:srgbClr val="9B2C2C"/>
                          </a:fillRef>
                          <a:effectRef idx="0">
                            <a:scrgbClr r="0" g="0" b="0"/>
                          </a:effectRef>
                          <a:fontRef idx="none"/>
                        </wps:style>
                        <wps:bodyPr/>
                      </wps:wsp>
                    </wpg:wgp>
                  </a:graphicData>
                </a:graphic>
              </wp:inline>
            </w:drawing>
          </mc:Choice>
          <mc:Fallback xmlns:a="http://schemas.openxmlformats.org/drawingml/2006/main">
            <w:pict>
              <v:group id="Group 1241" style="width:3.75pt;height:22.4pt;mso-position-horizontal-relative:char;mso-position-vertical-relative:line" coordsize="476,2844">
                <v:shape id="Shape 1700" style="position:absolute;width:476;height:2844;left:0;top:0;" coordsize="47625,284480" path="m0,0l47625,0l47625,284480l0,284480l0,0">
                  <v:stroke weight="0pt" endcap="flat" joinstyle="miter" miterlimit="10" on="false" color="#000000" opacity="0"/>
                  <v:fill on="true" color="#9b2c2c"/>
                </v:shape>
              </v:group>
            </w:pict>
          </mc:Fallback>
        </mc:AlternateContent>
      </w:r>
      <w:r>
        <w:t xml:space="preserve"> 1. Introduction to Operational Deficits</w:t>
      </w:r>
    </w:p>
    <w:p w14:paraId="76994369" w14:textId="77777777" w:rsidR="0001284F" w:rsidRDefault="00000000">
      <w:pPr>
        <w:spacing w:after="353" w:line="331" w:lineRule="auto"/>
        <w:ind w:left="-5" w:right="-10" w:hanging="10"/>
        <w:jc w:val="both"/>
      </w:pPr>
      <w:r>
        <w:rPr>
          <w:rFonts w:ascii="Times New Roman" w:eastAsia="Times New Roman" w:hAnsi="Times New Roman" w:cs="Times New Roman"/>
          <w:color w:val="111111"/>
        </w:rPr>
        <w:t>In traditional public and corporate grievance systems, manual workflows present persistent issues. Administrative operations rely on physical logs, scattered text entries, or disjointed email threads. These approaches suffer from structural transparency deficits, high operational response lag, and an absence of systematic classification standards. These limitations prevent administrative teams from addressing grievances efficiently and tracking accountability metrics.</w:t>
      </w:r>
    </w:p>
    <w:p w14:paraId="70BC0628" w14:textId="77777777" w:rsidR="0001284F" w:rsidRDefault="00000000">
      <w:pPr>
        <w:pStyle w:val="Heading1"/>
        <w:ind w:left="-5"/>
      </w:pPr>
      <w:r>
        <w:rPr>
          <w:noProof/>
        </w:rPr>
        <mc:AlternateContent>
          <mc:Choice Requires="wpg">
            <w:drawing>
              <wp:inline distT="0" distB="0" distL="0" distR="0" wp14:anchorId="330F22C2" wp14:editId="66B54809">
                <wp:extent cx="47625" cy="284480"/>
                <wp:effectExtent l="0" t="0" r="0" b="0"/>
                <wp:docPr id="1242" name="Group 1242"/>
                <wp:cNvGraphicFramePr/>
                <a:graphic xmlns:a="http://schemas.openxmlformats.org/drawingml/2006/main">
                  <a:graphicData uri="http://schemas.microsoft.com/office/word/2010/wordprocessingGroup">
                    <wpg:wgp>
                      <wpg:cNvGrpSpPr/>
                      <wpg:grpSpPr>
                        <a:xfrm>
                          <a:off x="0" y="0"/>
                          <a:ext cx="47625" cy="284480"/>
                          <a:chOff x="0" y="0"/>
                          <a:chExt cx="47625" cy="284480"/>
                        </a:xfrm>
                      </wpg:grpSpPr>
                      <wps:wsp>
                        <wps:cNvPr id="1701" name="Shape 1701"/>
                        <wps:cNvSpPr/>
                        <wps:spPr>
                          <a:xfrm>
                            <a:off x="0" y="0"/>
                            <a:ext cx="47625" cy="284480"/>
                          </a:xfrm>
                          <a:custGeom>
                            <a:avLst/>
                            <a:gdLst/>
                            <a:ahLst/>
                            <a:cxnLst/>
                            <a:rect l="0" t="0" r="0" b="0"/>
                            <a:pathLst>
                              <a:path w="47625" h="284480">
                                <a:moveTo>
                                  <a:pt x="0" y="0"/>
                                </a:moveTo>
                                <a:lnTo>
                                  <a:pt x="47625" y="0"/>
                                </a:lnTo>
                                <a:lnTo>
                                  <a:pt x="47625" y="284480"/>
                                </a:lnTo>
                                <a:lnTo>
                                  <a:pt x="0" y="284480"/>
                                </a:lnTo>
                                <a:lnTo>
                                  <a:pt x="0" y="0"/>
                                </a:lnTo>
                              </a:path>
                            </a:pathLst>
                          </a:custGeom>
                          <a:ln w="0" cap="flat">
                            <a:miter lim="127000"/>
                          </a:ln>
                        </wps:spPr>
                        <wps:style>
                          <a:lnRef idx="0">
                            <a:srgbClr val="000000">
                              <a:alpha val="0"/>
                            </a:srgbClr>
                          </a:lnRef>
                          <a:fillRef idx="1">
                            <a:srgbClr val="9B2C2C"/>
                          </a:fillRef>
                          <a:effectRef idx="0">
                            <a:scrgbClr r="0" g="0" b="0"/>
                          </a:effectRef>
                          <a:fontRef idx="none"/>
                        </wps:style>
                        <wps:bodyPr/>
                      </wps:wsp>
                    </wpg:wgp>
                  </a:graphicData>
                </a:graphic>
              </wp:inline>
            </w:drawing>
          </mc:Choice>
          <mc:Fallback xmlns:a="http://schemas.openxmlformats.org/drawingml/2006/main">
            <w:pict>
              <v:group id="Group 1242" style="width:3.75pt;height:22.4pt;mso-position-horizontal-relative:char;mso-position-vertical-relative:line" coordsize="476,2844">
                <v:shape id="Shape 1702" style="position:absolute;width:476;height:2844;left:0;top:0;" coordsize="47625,284480" path="m0,0l47625,0l47625,284480l0,284480l0,0">
                  <v:stroke weight="0pt" endcap="flat" joinstyle="miter" miterlimit="10" on="false" color="#000000" opacity="0"/>
                  <v:fill on="true" color="#9b2c2c"/>
                </v:shape>
              </v:group>
            </w:pict>
          </mc:Fallback>
        </mc:AlternateContent>
      </w:r>
      <w:r>
        <w:t xml:space="preserve"> 2. Root Cause Analysis</w:t>
      </w:r>
    </w:p>
    <w:p w14:paraId="784525D6" w14:textId="77777777" w:rsidR="0001284F" w:rsidRDefault="00000000">
      <w:pPr>
        <w:spacing w:after="626" w:line="331" w:lineRule="auto"/>
        <w:ind w:left="-5" w:right="-10" w:hanging="10"/>
        <w:jc w:val="both"/>
      </w:pPr>
      <w:r>
        <w:rPr>
          <w:rFonts w:ascii="Times New Roman" w:eastAsia="Times New Roman" w:hAnsi="Times New Roman" w:cs="Times New Roman"/>
          <w:color w:val="111111"/>
        </w:rPr>
        <w:t>The operational vulnerabilities in legacy grievance tracking systems stem from specific administrative and technical friction points:</w:t>
      </w:r>
    </w:p>
    <w:p w14:paraId="0FC985F2" w14:textId="77777777" w:rsidR="0001284F" w:rsidRDefault="00000000">
      <w:pPr>
        <w:numPr>
          <w:ilvl w:val="0"/>
          <w:numId w:val="1"/>
        </w:numPr>
        <w:pBdr>
          <w:left w:val="single" w:sz="24" w:space="0" w:color="E53E3E"/>
        </w:pBdr>
        <w:shd w:val="clear" w:color="auto" w:fill="FFF5F5"/>
        <w:spacing w:after="221" w:line="331" w:lineRule="auto"/>
        <w:ind w:right="177" w:hanging="10"/>
        <w:jc w:val="both"/>
      </w:pPr>
      <w:r>
        <w:rPr>
          <w:rFonts w:ascii="Times New Roman" w:eastAsia="Times New Roman" w:hAnsi="Times New Roman" w:cs="Times New Roman"/>
          <w:b/>
          <w:color w:val="111111"/>
        </w:rPr>
        <w:t>Information Asymmetry:</w:t>
      </w:r>
      <w:r>
        <w:rPr>
          <w:rFonts w:ascii="Times New Roman" w:eastAsia="Times New Roman" w:hAnsi="Times New Roman" w:cs="Times New Roman"/>
          <w:color w:val="111111"/>
        </w:rPr>
        <w:t xml:space="preserve"> Complainants lack visibility into internal workflows after submitting a ticket. Without structural milestone updates, citizens must follow up manually via phone or in person, increasing administrative workloads.</w:t>
      </w:r>
    </w:p>
    <w:p w14:paraId="41244A7D" w14:textId="77777777" w:rsidR="0001284F" w:rsidRDefault="00000000">
      <w:pPr>
        <w:numPr>
          <w:ilvl w:val="0"/>
          <w:numId w:val="1"/>
        </w:numPr>
        <w:pBdr>
          <w:left w:val="single" w:sz="24" w:space="0" w:color="E53E3E"/>
        </w:pBdr>
        <w:shd w:val="clear" w:color="auto" w:fill="FFF5F5"/>
        <w:spacing w:after="221" w:line="331" w:lineRule="auto"/>
        <w:ind w:right="177" w:hanging="10"/>
        <w:jc w:val="both"/>
      </w:pPr>
      <w:r>
        <w:rPr>
          <w:rFonts w:ascii="Times New Roman" w:eastAsia="Times New Roman" w:hAnsi="Times New Roman" w:cs="Times New Roman"/>
          <w:b/>
          <w:color w:val="111111"/>
        </w:rPr>
        <w:t>Categorization Errors:</w:t>
      </w:r>
      <w:r>
        <w:rPr>
          <w:rFonts w:ascii="Times New Roman" w:eastAsia="Times New Roman" w:hAnsi="Times New Roman" w:cs="Times New Roman"/>
          <w:color w:val="111111"/>
        </w:rPr>
        <w:t xml:space="preserve"> Manual indexing leads to misallocated tickets, lost records, and delayed resolution times due to the absence of automated sorting routines.</w:t>
      </w:r>
    </w:p>
    <w:p w14:paraId="284A7261" w14:textId="77777777" w:rsidR="0001284F" w:rsidRDefault="00000000">
      <w:pPr>
        <w:numPr>
          <w:ilvl w:val="0"/>
          <w:numId w:val="1"/>
        </w:numPr>
        <w:pBdr>
          <w:left w:val="single" w:sz="24" w:space="0" w:color="E53E3E"/>
        </w:pBdr>
        <w:shd w:val="clear" w:color="auto" w:fill="FFF5F5"/>
        <w:spacing w:after="5263" w:line="331" w:lineRule="auto"/>
        <w:ind w:right="177" w:hanging="10"/>
        <w:jc w:val="both"/>
      </w:pPr>
      <w:r>
        <w:rPr>
          <w:rFonts w:ascii="Times New Roman" w:eastAsia="Times New Roman" w:hAnsi="Times New Roman" w:cs="Times New Roman"/>
          <w:b/>
          <w:color w:val="111111"/>
        </w:rPr>
        <w:t>Security and Access Control Risks:</w:t>
      </w:r>
      <w:r>
        <w:rPr>
          <w:rFonts w:ascii="Times New Roman" w:eastAsia="Times New Roman" w:hAnsi="Times New Roman" w:cs="Times New Roman"/>
          <w:color w:val="111111"/>
        </w:rPr>
        <w:t xml:space="preserve"> Legacy systems often lack robust role-based boundaries. This missing insulation exposes internal updates, data adjustments, and resolution metrics to privilege escalation risks.</w:t>
      </w:r>
    </w:p>
    <w:p w14:paraId="4B12CC54" w14:textId="22BEB3EE" w:rsidR="0001284F" w:rsidRDefault="00000000" w:rsidP="00FB1896">
      <w:pPr>
        <w:tabs>
          <w:tab w:val="right" w:pos="10216"/>
        </w:tabs>
        <w:spacing w:after="3"/>
        <w:ind w:right="-9"/>
      </w:pPr>
      <w:r>
        <w:rPr>
          <w:color w:val="555555"/>
          <w:sz w:val="20"/>
        </w:rPr>
        <w:tab/>
        <w:t>1</w:t>
      </w:r>
    </w:p>
    <w:p w14:paraId="2B358B3B" w14:textId="77777777" w:rsidR="0001284F" w:rsidRDefault="00000000">
      <w:pPr>
        <w:pStyle w:val="Heading1"/>
        <w:spacing w:after="0"/>
        <w:ind w:left="-5"/>
      </w:pPr>
      <w:r>
        <w:rPr>
          <w:noProof/>
        </w:rPr>
        <w:lastRenderedPageBreak/>
        <mc:AlternateContent>
          <mc:Choice Requires="wpg">
            <w:drawing>
              <wp:inline distT="0" distB="0" distL="0" distR="0" wp14:anchorId="5399801F" wp14:editId="42D512F5">
                <wp:extent cx="47625" cy="284480"/>
                <wp:effectExtent l="0" t="0" r="0" b="0"/>
                <wp:docPr id="1607" name="Group 1607"/>
                <wp:cNvGraphicFramePr/>
                <a:graphic xmlns:a="http://schemas.openxmlformats.org/drawingml/2006/main">
                  <a:graphicData uri="http://schemas.microsoft.com/office/word/2010/wordprocessingGroup">
                    <wpg:wgp>
                      <wpg:cNvGrpSpPr/>
                      <wpg:grpSpPr>
                        <a:xfrm>
                          <a:off x="0" y="0"/>
                          <a:ext cx="47625" cy="284480"/>
                          <a:chOff x="0" y="0"/>
                          <a:chExt cx="47625" cy="284480"/>
                        </a:xfrm>
                      </wpg:grpSpPr>
                      <wps:wsp>
                        <wps:cNvPr id="1709" name="Shape 1709"/>
                        <wps:cNvSpPr/>
                        <wps:spPr>
                          <a:xfrm>
                            <a:off x="0" y="0"/>
                            <a:ext cx="47625" cy="284480"/>
                          </a:xfrm>
                          <a:custGeom>
                            <a:avLst/>
                            <a:gdLst/>
                            <a:ahLst/>
                            <a:cxnLst/>
                            <a:rect l="0" t="0" r="0" b="0"/>
                            <a:pathLst>
                              <a:path w="47625" h="284480">
                                <a:moveTo>
                                  <a:pt x="0" y="0"/>
                                </a:moveTo>
                                <a:lnTo>
                                  <a:pt x="47625" y="0"/>
                                </a:lnTo>
                                <a:lnTo>
                                  <a:pt x="47625" y="284480"/>
                                </a:lnTo>
                                <a:lnTo>
                                  <a:pt x="0" y="284480"/>
                                </a:lnTo>
                                <a:lnTo>
                                  <a:pt x="0" y="0"/>
                                </a:lnTo>
                              </a:path>
                            </a:pathLst>
                          </a:custGeom>
                          <a:ln w="0" cap="flat">
                            <a:miter lim="127000"/>
                          </a:ln>
                        </wps:spPr>
                        <wps:style>
                          <a:lnRef idx="0">
                            <a:srgbClr val="000000">
                              <a:alpha val="0"/>
                            </a:srgbClr>
                          </a:lnRef>
                          <a:fillRef idx="1">
                            <a:srgbClr val="9B2C2C"/>
                          </a:fillRef>
                          <a:effectRef idx="0">
                            <a:scrgbClr r="0" g="0" b="0"/>
                          </a:effectRef>
                          <a:fontRef idx="none"/>
                        </wps:style>
                        <wps:bodyPr/>
                      </wps:wsp>
                    </wpg:wgp>
                  </a:graphicData>
                </a:graphic>
              </wp:inline>
            </w:drawing>
          </mc:Choice>
          <mc:Fallback xmlns:a="http://schemas.openxmlformats.org/drawingml/2006/main">
            <w:pict>
              <v:group id="Group 1607" style="width:3.75pt;height:22.4pt;mso-position-horizontal-relative:char;mso-position-vertical-relative:line" coordsize="476,2844">
                <v:shape id="Shape 1710" style="position:absolute;width:476;height:2844;left:0;top:0;" coordsize="47625,284480" path="m0,0l47625,0l47625,284480l0,284480l0,0">
                  <v:stroke weight="0pt" endcap="flat" joinstyle="miter" miterlimit="10" on="false" color="#000000" opacity="0"/>
                  <v:fill on="true" color="#9b2c2c"/>
                </v:shape>
              </v:group>
            </w:pict>
          </mc:Fallback>
        </mc:AlternateContent>
      </w:r>
      <w:r>
        <w:t xml:space="preserve"> 3. Problem Breakdown Matrix</w:t>
      </w:r>
    </w:p>
    <w:tbl>
      <w:tblPr>
        <w:tblStyle w:val="TableGrid"/>
        <w:tblW w:w="10190" w:type="dxa"/>
        <w:tblInd w:w="8" w:type="dxa"/>
        <w:tblCellMar>
          <w:top w:w="0" w:type="dxa"/>
          <w:left w:w="158" w:type="dxa"/>
          <w:bottom w:w="0" w:type="dxa"/>
          <w:right w:w="115" w:type="dxa"/>
        </w:tblCellMar>
        <w:tblLook w:val="04A0" w:firstRow="1" w:lastRow="0" w:firstColumn="1" w:lastColumn="0" w:noHBand="0" w:noVBand="1"/>
      </w:tblPr>
      <w:tblGrid>
        <w:gridCol w:w="2548"/>
        <w:gridCol w:w="4585"/>
        <w:gridCol w:w="3057"/>
      </w:tblGrid>
      <w:tr w:rsidR="0001284F" w14:paraId="73DDCDA7" w14:textId="77777777">
        <w:trPr>
          <w:trHeight w:val="927"/>
        </w:trPr>
        <w:tc>
          <w:tcPr>
            <w:tcW w:w="2547" w:type="dxa"/>
            <w:tcBorders>
              <w:top w:val="single" w:sz="6" w:space="0" w:color="CBD5E0"/>
              <w:left w:val="single" w:sz="6" w:space="0" w:color="CBD5E0"/>
              <w:bottom w:val="single" w:sz="6" w:space="0" w:color="CBD5E0"/>
              <w:right w:val="single" w:sz="6" w:space="0" w:color="CBD5E0"/>
            </w:tcBorders>
            <w:shd w:val="clear" w:color="auto" w:fill="9B2C2C"/>
            <w:vAlign w:val="center"/>
          </w:tcPr>
          <w:p w14:paraId="402B32AC" w14:textId="77777777" w:rsidR="0001284F" w:rsidRDefault="00000000">
            <w:pPr>
              <w:spacing w:after="0"/>
            </w:pPr>
            <w:r>
              <w:rPr>
                <w:rFonts w:ascii="Times New Roman" w:eastAsia="Times New Roman" w:hAnsi="Times New Roman" w:cs="Times New Roman"/>
                <w:b/>
                <w:color w:val="FFFFFF"/>
                <w:sz w:val="21"/>
              </w:rPr>
              <w:t>Operational Arena</w:t>
            </w:r>
          </w:p>
        </w:tc>
        <w:tc>
          <w:tcPr>
            <w:tcW w:w="4585" w:type="dxa"/>
            <w:tcBorders>
              <w:top w:val="single" w:sz="6" w:space="0" w:color="CBD5E0"/>
              <w:left w:val="single" w:sz="6" w:space="0" w:color="CBD5E0"/>
              <w:bottom w:val="single" w:sz="6" w:space="0" w:color="CBD5E0"/>
              <w:right w:val="single" w:sz="6" w:space="0" w:color="CBD5E0"/>
            </w:tcBorders>
            <w:shd w:val="clear" w:color="auto" w:fill="9B2C2C"/>
            <w:vAlign w:val="center"/>
          </w:tcPr>
          <w:p w14:paraId="5443BAF6" w14:textId="77777777" w:rsidR="0001284F" w:rsidRDefault="00000000">
            <w:pPr>
              <w:spacing w:after="0"/>
            </w:pPr>
            <w:r>
              <w:rPr>
                <w:rFonts w:ascii="Times New Roman" w:eastAsia="Times New Roman" w:hAnsi="Times New Roman" w:cs="Times New Roman"/>
                <w:b/>
                <w:color w:val="FFFFFF"/>
                <w:sz w:val="21"/>
              </w:rPr>
              <w:t>Current Manual Vulnerability</w:t>
            </w:r>
          </w:p>
        </w:tc>
        <w:tc>
          <w:tcPr>
            <w:tcW w:w="3057" w:type="dxa"/>
            <w:tcBorders>
              <w:top w:val="single" w:sz="6" w:space="0" w:color="CBD5E0"/>
              <w:left w:val="single" w:sz="6" w:space="0" w:color="CBD5E0"/>
              <w:bottom w:val="single" w:sz="6" w:space="0" w:color="CBD5E0"/>
              <w:right w:val="single" w:sz="6" w:space="0" w:color="CBD5E0"/>
            </w:tcBorders>
            <w:shd w:val="clear" w:color="auto" w:fill="9B2C2C"/>
            <w:vAlign w:val="center"/>
          </w:tcPr>
          <w:p w14:paraId="45685E56" w14:textId="77777777" w:rsidR="0001284F" w:rsidRDefault="00000000">
            <w:pPr>
              <w:spacing w:after="73"/>
            </w:pPr>
            <w:r>
              <w:rPr>
                <w:rFonts w:ascii="Times New Roman" w:eastAsia="Times New Roman" w:hAnsi="Times New Roman" w:cs="Times New Roman"/>
                <w:b/>
                <w:color w:val="FFFFFF"/>
                <w:sz w:val="21"/>
              </w:rPr>
              <w:t>Systemic Academic</w:t>
            </w:r>
          </w:p>
          <w:p w14:paraId="4FF7E375" w14:textId="77777777" w:rsidR="0001284F" w:rsidRDefault="00000000">
            <w:pPr>
              <w:spacing w:after="0"/>
            </w:pPr>
            <w:r>
              <w:rPr>
                <w:rFonts w:ascii="Times New Roman" w:eastAsia="Times New Roman" w:hAnsi="Times New Roman" w:cs="Times New Roman"/>
                <w:b/>
                <w:color w:val="FFFFFF"/>
                <w:sz w:val="21"/>
              </w:rPr>
              <w:t>Consequence</w:t>
            </w:r>
          </w:p>
        </w:tc>
      </w:tr>
      <w:tr w:rsidR="0001284F" w14:paraId="646EBDC2" w14:textId="77777777">
        <w:trPr>
          <w:trHeight w:val="927"/>
        </w:trPr>
        <w:tc>
          <w:tcPr>
            <w:tcW w:w="2547" w:type="dxa"/>
            <w:tcBorders>
              <w:top w:val="single" w:sz="6" w:space="0" w:color="CBD5E0"/>
              <w:left w:val="single" w:sz="6" w:space="0" w:color="CBD5E0"/>
              <w:bottom w:val="single" w:sz="6" w:space="0" w:color="CBD5E0"/>
              <w:right w:val="single" w:sz="6" w:space="0" w:color="CBD5E0"/>
            </w:tcBorders>
            <w:vAlign w:val="center"/>
          </w:tcPr>
          <w:p w14:paraId="1F276AD1" w14:textId="77777777" w:rsidR="0001284F" w:rsidRDefault="00000000">
            <w:pPr>
              <w:spacing w:after="0"/>
            </w:pPr>
            <w:r>
              <w:rPr>
                <w:rFonts w:ascii="Times New Roman" w:eastAsia="Times New Roman" w:hAnsi="Times New Roman" w:cs="Times New Roman"/>
                <w:b/>
                <w:color w:val="111111"/>
                <w:sz w:val="21"/>
              </w:rPr>
              <w:t>Data Ingestion</w:t>
            </w:r>
          </w:p>
        </w:tc>
        <w:tc>
          <w:tcPr>
            <w:tcW w:w="4585" w:type="dxa"/>
            <w:tcBorders>
              <w:top w:val="single" w:sz="6" w:space="0" w:color="CBD5E0"/>
              <w:left w:val="single" w:sz="6" w:space="0" w:color="CBD5E0"/>
              <w:bottom w:val="single" w:sz="6" w:space="0" w:color="CBD5E0"/>
              <w:right w:val="single" w:sz="6" w:space="0" w:color="CBD5E0"/>
            </w:tcBorders>
            <w:vAlign w:val="center"/>
          </w:tcPr>
          <w:p w14:paraId="4639A42D" w14:textId="77777777" w:rsidR="0001284F" w:rsidRDefault="00000000">
            <w:pPr>
              <w:spacing w:after="0"/>
            </w:pPr>
            <w:r>
              <w:rPr>
                <w:rFonts w:ascii="Times New Roman" w:eastAsia="Times New Roman" w:hAnsi="Times New Roman" w:cs="Times New Roman"/>
                <w:color w:val="111111"/>
                <w:sz w:val="21"/>
              </w:rPr>
              <w:t>Paper forms or unindexed email messages with no structural format validation checks.</w:t>
            </w:r>
          </w:p>
        </w:tc>
        <w:tc>
          <w:tcPr>
            <w:tcW w:w="3057" w:type="dxa"/>
            <w:tcBorders>
              <w:top w:val="single" w:sz="6" w:space="0" w:color="CBD5E0"/>
              <w:left w:val="single" w:sz="6" w:space="0" w:color="CBD5E0"/>
              <w:bottom w:val="single" w:sz="6" w:space="0" w:color="CBD5E0"/>
              <w:right w:val="single" w:sz="6" w:space="0" w:color="CBD5E0"/>
            </w:tcBorders>
            <w:vAlign w:val="center"/>
          </w:tcPr>
          <w:p w14:paraId="2C5C1A6E" w14:textId="77777777" w:rsidR="0001284F" w:rsidRDefault="00000000">
            <w:pPr>
              <w:spacing w:after="0"/>
            </w:pPr>
            <w:r>
              <w:rPr>
                <w:rFonts w:ascii="Times New Roman" w:eastAsia="Times New Roman" w:hAnsi="Times New Roman" w:cs="Times New Roman"/>
                <w:color w:val="111111"/>
                <w:sz w:val="21"/>
              </w:rPr>
              <w:t>High ingestion error rates and incomplete record capture.</w:t>
            </w:r>
          </w:p>
        </w:tc>
      </w:tr>
      <w:tr w:rsidR="0001284F" w14:paraId="51182C9D" w14:textId="77777777">
        <w:trPr>
          <w:trHeight w:val="1263"/>
        </w:trPr>
        <w:tc>
          <w:tcPr>
            <w:tcW w:w="2547" w:type="dxa"/>
            <w:tcBorders>
              <w:top w:val="single" w:sz="6" w:space="0" w:color="CBD5E0"/>
              <w:left w:val="single" w:sz="6" w:space="0" w:color="CBD5E0"/>
              <w:bottom w:val="single" w:sz="6" w:space="0" w:color="CBD5E0"/>
              <w:right w:val="single" w:sz="6" w:space="0" w:color="CBD5E0"/>
            </w:tcBorders>
            <w:shd w:val="clear" w:color="auto" w:fill="FFF5F5"/>
            <w:vAlign w:val="center"/>
          </w:tcPr>
          <w:p w14:paraId="0772A67A" w14:textId="77777777" w:rsidR="0001284F" w:rsidRDefault="00000000">
            <w:pPr>
              <w:spacing w:after="0"/>
            </w:pPr>
            <w:r>
              <w:rPr>
                <w:rFonts w:ascii="Times New Roman" w:eastAsia="Times New Roman" w:hAnsi="Times New Roman" w:cs="Times New Roman"/>
                <w:b/>
                <w:color w:val="111111"/>
                <w:sz w:val="21"/>
              </w:rPr>
              <w:t>Status Tracking</w:t>
            </w:r>
          </w:p>
        </w:tc>
        <w:tc>
          <w:tcPr>
            <w:tcW w:w="4585" w:type="dxa"/>
            <w:tcBorders>
              <w:top w:val="single" w:sz="6" w:space="0" w:color="CBD5E0"/>
              <w:left w:val="single" w:sz="6" w:space="0" w:color="CBD5E0"/>
              <w:bottom w:val="single" w:sz="6" w:space="0" w:color="CBD5E0"/>
              <w:right w:val="single" w:sz="6" w:space="0" w:color="CBD5E0"/>
            </w:tcBorders>
            <w:shd w:val="clear" w:color="auto" w:fill="FFF5F5"/>
            <w:vAlign w:val="center"/>
          </w:tcPr>
          <w:p w14:paraId="5469587B" w14:textId="77777777" w:rsidR="0001284F" w:rsidRDefault="00000000">
            <w:pPr>
              <w:spacing w:after="0"/>
            </w:pPr>
            <w:r>
              <w:rPr>
                <w:rFonts w:ascii="Times New Roman" w:eastAsia="Times New Roman" w:hAnsi="Times New Roman" w:cs="Times New Roman"/>
                <w:color w:val="111111"/>
                <w:sz w:val="21"/>
              </w:rPr>
              <w:t>No external status query protocol for filed issues.</w:t>
            </w:r>
          </w:p>
        </w:tc>
        <w:tc>
          <w:tcPr>
            <w:tcW w:w="3057" w:type="dxa"/>
            <w:tcBorders>
              <w:top w:val="single" w:sz="6" w:space="0" w:color="CBD5E0"/>
              <w:left w:val="single" w:sz="6" w:space="0" w:color="CBD5E0"/>
              <w:bottom w:val="single" w:sz="6" w:space="0" w:color="CBD5E0"/>
              <w:right w:val="single" w:sz="6" w:space="0" w:color="CBD5E0"/>
            </w:tcBorders>
            <w:shd w:val="clear" w:color="auto" w:fill="FFF5F5"/>
            <w:vAlign w:val="center"/>
          </w:tcPr>
          <w:p w14:paraId="68744F6E" w14:textId="77777777" w:rsidR="0001284F" w:rsidRDefault="00000000">
            <w:pPr>
              <w:spacing w:after="0"/>
              <w:ind w:right="31"/>
            </w:pPr>
            <w:r>
              <w:rPr>
                <w:rFonts w:ascii="Times New Roman" w:eastAsia="Times New Roman" w:hAnsi="Times New Roman" w:cs="Times New Roman"/>
                <w:color w:val="111111"/>
                <w:sz w:val="21"/>
              </w:rPr>
              <w:t>High information asymmetry and increased manual follow-up overheads.</w:t>
            </w:r>
          </w:p>
        </w:tc>
      </w:tr>
      <w:tr w:rsidR="0001284F" w14:paraId="18F01B72" w14:textId="77777777">
        <w:trPr>
          <w:trHeight w:val="1263"/>
        </w:trPr>
        <w:tc>
          <w:tcPr>
            <w:tcW w:w="2547" w:type="dxa"/>
            <w:tcBorders>
              <w:top w:val="single" w:sz="6" w:space="0" w:color="CBD5E0"/>
              <w:left w:val="single" w:sz="6" w:space="0" w:color="CBD5E0"/>
              <w:bottom w:val="single" w:sz="6" w:space="0" w:color="CBD5E0"/>
              <w:right w:val="single" w:sz="6" w:space="0" w:color="CBD5E0"/>
            </w:tcBorders>
            <w:vAlign w:val="center"/>
          </w:tcPr>
          <w:p w14:paraId="27747454" w14:textId="77777777" w:rsidR="0001284F" w:rsidRDefault="00000000">
            <w:pPr>
              <w:spacing w:after="0"/>
            </w:pPr>
            <w:r>
              <w:rPr>
                <w:rFonts w:ascii="Times New Roman" w:eastAsia="Times New Roman" w:hAnsi="Times New Roman" w:cs="Times New Roman"/>
                <w:b/>
                <w:color w:val="111111"/>
                <w:sz w:val="21"/>
              </w:rPr>
              <w:t>Access Boundaries</w:t>
            </w:r>
          </w:p>
        </w:tc>
        <w:tc>
          <w:tcPr>
            <w:tcW w:w="4585" w:type="dxa"/>
            <w:tcBorders>
              <w:top w:val="single" w:sz="6" w:space="0" w:color="CBD5E0"/>
              <w:left w:val="single" w:sz="6" w:space="0" w:color="CBD5E0"/>
              <w:bottom w:val="single" w:sz="6" w:space="0" w:color="CBD5E0"/>
              <w:right w:val="single" w:sz="6" w:space="0" w:color="CBD5E0"/>
            </w:tcBorders>
            <w:vAlign w:val="center"/>
          </w:tcPr>
          <w:p w14:paraId="399F8692" w14:textId="77777777" w:rsidR="0001284F" w:rsidRDefault="00000000">
            <w:pPr>
              <w:spacing w:after="0"/>
            </w:pPr>
            <w:r>
              <w:rPr>
                <w:rFonts w:ascii="Times New Roman" w:eastAsia="Times New Roman" w:hAnsi="Times New Roman" w:cs="Times New Roman"/>
                <w:color w:val="111111"/>
                <w:sz w:val="21"/>
              </w:rPr>
              <w:t>Shared single-tier logins without distinct operational boundaries.</w:t>
            </w:r>
          </w:p>
        </w:tc>
        <w:tc>
          <w:tcPr>
            <w:tcW w:w="3057" w:type="dxa"/>
            <w:tcBorders>
              <w:top w:val="single" w:sz="6" w:space="0" w:color="CBD5E0"/>
              <w:left w:val="single" w:sz="6" w:space="0" w:color="CBD5E0"/>
              <w:bottom w:val="single" w:sz="6" w:space="0" w:color="CBD5E0"/>
              <w:right w:val="single" w:sz="6" w:space="0" w:color="CBD5E0"/>
            </w:tcBorders>
            <w:vAlign w:val="center"/>
          </w:tcPr>
          <w:p w14:paraId="37FA5087" w14:textId="77777777" w:rsidR="0001284F" w:rsidRDefault="00000000">
            <w:pPr>
              <w:spacing w:after="0"/>
            </w:pPr>
            <w:r>
              <w:rPr>
                <w:rFonts w:ascii="Times New Roman" w:eastAsia="Times New Roman" w:hAnsi="Times New Roman" w:cs="Times New Roman"/>
                <w:color w:val="111111"/>
                <w:sz w:val="21"/>
              </w:rPr>
              <w:t>High exposure to privilege escalation and unauthorized changes.</w:t>
            </w:r>
          </w:p>
        </w:tc>
      </w:tr>
      <w:tr w:rsidR="0001284F" w14:paraId="154F58B7" w14:textId="77777777">
        <w:trPr>
          <w:trHeight w:val="1263"/>
        </w:trPr>
        <w:tc>
          <w:tcPr>
            <w:tcW w:w="2547" w:type="dxa"/>
            <w:tcBorders>
              <w:top w:val="single" w:sz="6" w:space="0" w:color="CBD5E0"/>
              <w:left w:val="single" w:sz="6" w:space="0" w:color="CBD5E0"/>
              <w:bottom w:val="single" w:sz="6" w:space="0" w:color="CBD5E0"/>
              <w:right w:val="single" w:sz="6" w:space="0" w:color="CBD5E0"/>
            </w:tcBorders>
            <w:shd w:val="clear" w:color="auto" w:fill="FFF5F5"/>
            <w:vAlign w:val="center"/>
          </w:tcPr>
          <w:p w14:paraId="4E599411" w14:textId="77777777" w:rsidR="0001284F" w:rsidRDefault="00000000">
            <w:pPr>
              <w:spacing w:after="0"/>
            </w:pPr>
            <w:r>
              <w:rPr>
                <w:rFonts w:ascii="Times New Roman" w:eastAsia="Times New Roman" w:hAnsi="Times New Roman" w:cs="Times New Roman"/>
                <w:b/>
                <w:color w:val="111111"/>
                <w:sz w:val="21"/>
              </w:rPr>
              <w:t>Analytical Review</w:t>
            </w:r>
          </w:p>
        </w:tc>
        <w:tc>
          <w:tcPr>
            <w:tcW w:w="4585" w:type="dxa"/>
            <w:tcBorders>
              <w:top w:val="single" w:sz="6" w:space="0" w:color="CBD5E0"/>
              <w:left w:val="single" w:sz="6" w:space="0" w:color="CBD5E0"/>
              <w:bottom w:val="single" w:sz="6" w:space="0" w:color="CBD5E0"/>
              <w:right w:val="single" w:sz="6" w:space="0" w:color="CBD5E0"/>
            </w:tcBorders>
            <w:shd w:val="clear" w:color="auto" w:fill="FFF5F5"/>
            <w:vAlign w:val="center"/>
          </w:tcPr>
          <w:p w14:paraId="5D923E18" w14:textId="77777777" w:rsidR="0001284F" w:rsidRDefault="00000000">
            <w:pPr>
              <w:spacing w:after="0"/>
            </w:pPr>
            <w:r>
              <w:rPr>
                <w:rFonts w:ascii="Times New Roman" w:eastAsia="Times New Roman" w:hAnsi="Times New Roman" w:cs="Times New Roman"/>
                <w:color w:val="111111"/>
                <w:sz w:val="21"/>
              </w:rPr>
              <w:t>Manual calculation of resolution metrics across separate record books.</w:t>
            </w:r>
          </w:p>
        </w:tc>
        <w:tc>
          <w:tcPr>
            <w:tcW w:w="3057" w:type="dxa"/>
            <w:tcBorders>
              <w:top w:val="single" w:sz="6" w:space="0" w:color="CBD5E0"/>
              <w:left w:val="single" w:sz="6" w:space="0" w:color="CBD5E0"/>
              <w:bottom w:val="single" w:sz="6" w:space="0" w:color="CBD5E0"/>
              <w:right w:val="single" w:sz="6" w:space="0" w:color="CBD5E0"/>
            </w:tcBorders>
            <w:shd w:val="clear" w:color="auto" w:fill="FFF5F5"/>
            <w:vAlign w:val="center"/>
          </w:tcPr>
          <w:p w14:paraId="4E650A77" w14:textId="77777777" w:rsidR="0001284F" w:rsidRDefault="00000000">
            <w:pPr>
              <w:spacing w:after="0"/>
            </w:pPr>
            <w:r>
              <w:rPr>
                <w:rFonts w:ascii="Times New Roman" w:eastAsia="Times New Roman" w:hAnsi="Times New Roman" w:cs="Times New Roman"/>
                <w:color w:val="111111"/>
                <w:sz w:val="21"/>
              </w:rPr>
              <w:t>Inability to establish mean response time benchmarks or locate process bottlenecks.</w:t>
            </w:r>
          </w:p>
        </w:tc>
      </w:tr>
    </w:tbl>
    <w:p w14:paraId="200B2406" w14:textId="3CC8CCD8" w:rsidR="0001284F" w:rsidRDefault="00000000">
      <w:pPr>
        <w:tabs>
          <w:tab w:val="right" w:pos="10216"/>
        </w:tabs>
        <w:spacing w:after="3"/>
        <w:ind w:left="-15" w:right="-9"/>
      </w:pPr>
      <w:r>
        <w:rPr>
          <w:color w:val="555555"/>
          <w:sz w:val="20"/>
        </w:rPr>
        <w:tab/>
        <w:t>2</w:t>
      </w:r>
    </w:p>
    <w:sectPr w:rsidR="0001284F">
      <w:pgSz w:w="11906" w:h="16838"/>
      <w:pgMar w:top="1134" w:right="839" w:bottom="455"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DB0DC5"/>
    <w:multiLevelType w:val="hybridMultilevel"/>
    <w:tmpl w:val="AADE87AE"/>
    <w:lvl w:ilvl="0" w:tplc="C598DE5C">
      <w:start w:val="1"/>
      <w:numFmt w:val="upperLetter"/>
      <w:lvlText w:val="%1."/>
      <w:lvlJc w:val="left"/>
      <w:pPr>
        <w:ind w:left="235"/>
      </w:pPr>
      <w:rPr>
        <w:rFonts w:ascii="Times New Roman" w:eastAsia="Times New Roman" w:hAnsi="Times New Roman" w:cs="Times New Roman"/>
        <w:b/>
        <w:bCs/>
        <w:i w:val="0"/>
        <w:strike w:val="0"/>
        <w:dstrike w:val="0"/>
        <w:color w:val="111111"/>
        <w:sz w:val="22"/>
        <w:szCs w:val="22"/>
        <w:u w:val="none" w:color="000000"/>
        <w:bdr w:val="none" w:sz="0" w:space="0" w:color="auto"/>
        <w:shd w:val="clear" w:color="auto" w:fill="auto"/>
        <w:vertAlign w:val="baseline"/>
      </w:rPr>
    </w:lvl>
    <w:lvl w:ilvl="1" w:tplc="18FE46BC">
      <w:start w:val="1"/>
      <w:numFmt w:val="lowerLetter"/>
      <w:lvlText w:val="%2"/>
      <w:lvlJc w:val="left"/>
      <w:pPr>
        <w:ind w:left="1320"/>
      </w:pPr>
      <w:rPr>
        <w:rFonts w:ascii="Times New Roman" w:eastAsia="Times New Roman" w:hAnsi="Times New Roman" w:cs="Times New Roman"/>
        <w:b/>
        <w:bCs/>
        <w:i w:val="0"/>
        <w:strike w:val="0"/>
        <w:dstrike w:val="0"/>
        <w:color w:val="111111"/>
        <w:sz w:val="22"/>
        <w:szCs w:val="22"/>
        <w:u w:val="none" w:color="000000"/>
        <w:bdr w:val="none" w:sz="0" w:space="0" w:color="auto"/>
        <w:shd w:val="clear" w:color="auto" w:fill="auto"/>
        <w:vertAlign w:val="baseline"/>
      </w:rPr>
    </w:lvl>
    <w:lvl w:ilvl="2" w:tplc="28909C20">
      <w:start w:val="1"/>
      <w:numFmt w:val="lowerRoman"/>
      <w:lvlText w:val="%3"/>
      <w:lvlJc w:val="left"/>
      <w:pPr>
        <w:ind w:left="2040"/>
      </w:pPr>
      <w:rPr>
        <w:rFonts w:ascii="Times New Roman" w:eastAsia="Times New Roman" w:hAnsi="Times New Roman" w:cs="Times New Roman"/>
        <w:b/>
        <w:bCs/>
        <w:i w:val="0"/>
        <w:strike w:val="0"/>
        <w:dstrike w:val="0"/>
        <w:color w:val="111111"/>
        <w:sz w:val="22"/>
        <w:szCs w:val="22"/>
        <w:u w:val="none" w:color="000000"/>
        <w:bdr w:val="none" w:sz="0" w:space="0" w:color="auto"/>
        <w:shd w:val="clear" w:color="auto" w:fill="auto"/>
        <w:vertAlign w:val="baseline"/>
      </w:rPr>
    </w:lvl>
    <w:lvl w:ilvl="3" w:tplc="0B82FC10">
      <w:start w:val="1"/>
      <w:numFmt w:val="decimal"/>
      <w:lvlText w:val="%4"/>
      <w:lvlJc w:val="left"/>
      <w:pPr>
        <w:ind w:left="2760"/>
      </w:pPr>
      <w:rPr>
        <w:rFonts w:ascii="Times New Roman" w:eastAsia="Times New Roman" w:hAnsi="Times New Roman" w:cs="Times New Roman"/>
        <w:b/>
        <w:bCs/>
        <w:i w:val="0"/>
        <w:strike w:val="0"/>
        <w:dstrike w:val="0"/>
        <w:color w:val="111111"/>
        <w:sz w:val="22"/>
        <w:szCs w:val="22"/>
        <w:u w:val="none" w:color="000000"/>
        <w:bdr w:val="none" w:sz="0" w:space="0" w:color="auto"/>
        <w:shd w:val="clear" w:color="auto" w:fill="auto"/>
        <w:vertAlign w:val="baseline"/>
      </w:rPr>
    </w:lvl>
    <w:lvl w:ilvl="4" w:tplc="BC74553A">
      <w:start w:val="1"/>
      <w:numFmt w:val="lowerLetter"/>
      <w:lvlText w:val="%5"/>
      <w:lvlJc w:val="left"/>
      <w:pPr>
        <w:ind w:left="3480"/>
      </w:pPr>
      <w:rPr>
        <w:rFonts w:ascii="Times New Roman" w:eastAsia="Times New Roman" w:hAnsi="Times New Roman" w:cs="Times New Roman"/>
        <w:b/>
        <w:bCs/>
        <w:i w:val="0"/>
        <w:strike w:val="0"/>
        <w:dstrike w:val="0"/>
        <w:color w:val="111111"/>
        <w:sz w:val="22"/>
        <w:szCs w:val="22"/>
        <w:u w:val="none" w:color="000000"/>
        <w:bdr w:val="none" w:sz="0" w:space="0" w:color="auto"/>
        <w:shd w:val="clear" w:color="auto" w:fill="auto"/>
        <w:vertAlign w:val="baseline"/>
      </w:rPr>
    </w:lvl>
    <w:lvl w:ilvl="5" w:tplc="E2DA54EE">
      <w:start w:val="1"/>
      <w:numFmt w:val="lowerRoman"/>
      <w:lvlText w:val="%6"/>
      <w:lvlJc w:val="left"/>
      <w:pPr>
        <w:ind w:left="4200"/>
      </w:pPr>
      <w:rPr>
        <w:rFonts w:ascii="Times New Roman" w:eastAsia="Times New Roman" w:hAnsi="Times New Roman" w:cs="Times New Roman"/>
        <w:b/>
        <w:bCs/>
        <w:i w:val="0"/>
        <w:strike w:val="0"/>
        <w:dstrike w:val="0"/>
        <w:color w:val="111111"/>
        <w:sz w:val="22"/>
        <w:szCs w:val="22"/>
        <w:u w:val="none" w:color="000000"/>
        <w:bdr w:val="none" w:sz="0" w:space="0" w:color="auto"/>
        <w:shd w:val="clear" w:color="auto" w:fill="auto"/>
        <w:vertAlign w:val="baseline"/>
      </w:rPr>
    </w:lvl>
    <w:lvl w:ilvl="6" w:tplc="86E44834">
      <w:start w:val="1"/>
      <w:numFmt w:val="decimal"/>
      <w:lvlText w:val="%7"/>
      <w:lvlJc w:val="left"/>
      <w:pPr>
        <w:ind w:left="4920"/>
      </w:pPr>
      <w:rPr>
        <w:rFonts w:ascii="Times New Roman" w:eastAsia="Times New Roman" w:hAnsi="Times New Roman" w:cs="Times New Roman"/>
        <w:b/>
        <w:bCs/>
        <w:i w:val="0"/>
        <w:strike w:val="0"/>
        <w:dstrike w:val="0"/>
        <w:color w:val="111111"/>
        <w:sz w:val="22"/>
        <w:szCs w:val="22"/>
        <w:u w:val="none" w:color="000000"/>
        <w:bdr w:val="none" w:sz="0" w:space="0" w:color="auto"/>
        <w:shd w:val="clear" w:color="auto" w:fill="auto"/>
        <w:vertAlign w:val="baseline"/>
      </w:rPr>
    </w:lvl>
    <w:lvl w:ilvl="7" w:tplc="799E1DBC">
      <w:start w:val="1"/>
      <w:numFmt w:val="lowerLetter"/>
      <w:lvlText w:val="%8"/>
      <w:lvlJc w:val="left"/>
      <w:pPr>
        <w:ind w:left="5640"/>
      </w:pPr>
      <w:rPr>
        <w:rFonts w:ascii="Times New Roman" w:eastAsia="Times New Roman" w:hAnsi="Times New Roman" w:cs="Times New Roman"/>
        <w:b/>
        <w:bCs/>
        <w:i w:val="0"/>
        <w:strike w:val="0"/>
        <w:dstrike w:val="0"/>
        <w:color w:val="111111"/>
        <w:sz w:val="22"/>
        <w:szCs w:val="22"/>
        <w:u w:val="none" w:color="000000"/>
        <w:bdr w:val="none" w:sz="0" w:space="0" w:color="auto"/>
        <w:shd w:val="clear" w:color="auto" w:fill="auto"/>
        <w:vertAlign w:val="baseline"/>
      </w:rPr>
    </w:lvl>
    <w:lvl w:ilvl="8" w:tplc="012A0302">
      <w:start w:val="1"/>
      <w:numFmt w:val="lowerRoman"/>
      <w:lvlText w:val="%9"/>
      <w:lvlJc w:val="left"/>
      <w:pPr>
        <w:ind w:left="6360"/>
      </w:pPr>
      <w:rPr>
        <w:rFonts w:ascii="Times New Roman" w:eastAsia="Times New Roman" w:hAnsi="Times New Roman" w:cs="Times New Roman"/>
        <w:b/>
        <w:bCs/>
        <w:i w:val="0"/>
        <w:strike w:val="0"/>
        <w:dstrike w:val="0"/>
        <w:color w:val="111111"/>
        <w:sz w:val="22"/>
        <w:szCs w:val="22"/>
        <w:u w:val="none" w:color="000000"/>
        <w:bdr w:val="none" w:sz="0" w:space="0" w:color="auto"/>
        <w:shd w:val="clear" w:color="auto" w:fill="auto"/>
        <w:vertAlign w:val="baseline"/>
      </w:rPr>
    </w:lvl>
  </w:abstractNum>
  <w:num w:numId="1" w16cid:durableId="1454978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84F"/>
    <w:rsid w:val="0001284F"/>
    <w:rsid w:val="00B126DE"/>
    <w:rsid w:val="00FB18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B10B4"/>
  <w15:docId w15:val="{F40C9835-B4E5-496F-BE26-82F376681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93" w:line="259" w:lineRule="auto"/>
      <w:ind w:left="10" w:hanging="10"/>
      <w:outlineLvl w:val="0"/>
    </w:pPr>
    <w:rPr>
      <w:rFonts w:ascii="Times New Roman" w:eastAsia="Times New Roman" w:hAnsi="Times New Roman" w:cs="Times New Roman"/>
      <w:b/>
      <w:color w:val="742A2A"/>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742A2A"/>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309</Words>
  <Characters>1763</Characters>
  <Application>Microsoft Office Word</Application>
  <DocSecurity>0</DocSecurity>
  <Lines>14</Lines>
  <Paragraphs>4</Paragraphs>
  <ScaleCrop>false</ScaleCrop>
  <Company/>
  <LinksUpToDate>false</LinksUpToDate>
  <CharactersWithSpaces>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Project Documentation - Problem Definition &amp; Analysis</dc:title>
  <dc:subject/>
  <dc:creator>chiluka Nikhitha</dc:creator>
  <cp:keywords/>
  <cp:lastModifiedBy>chiluka Nikhitha</cp:lastModifiedBy>
  <cp:revision>2</cp:revision>
  <dcterms:created xsi:type="dcterms:W3CDTF">2026-06-18T04:59:00Z</dcterms:created>
  <dcterms:modified xsi:type="dcterms:W3CDTF">2026-06-18T04:59:00Z</dcterms:modified>
</cp:coreProperties>
</file>