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5D602" w14:textId="56FE67ED" w:rsidR="000B1079" w:rsidRDefault="00261411">
      <w:pPr>
        <w:spacing w:after="0" w:line="259" w:lineRule="auto"/>
        <w:ind w:left="0" w:right="4" w:firstLine="0"/>
        <w:jc w:val="center"/>
      </w:pPr>
      <w:r>
        <w:rPr>
          <w:b/>
          <w:color w:val="234E52"/>
          <w:sz w:val="40"/>
        </w:rPr>
        <w:t>PROPOSED SOLUTION</w:t>
      </w:r>
    </w:p>
    <w:p w14:paraId="0E8FEEC2" w14:textId="77777777" w:rsidR="000B1079" w:rsidRDefault="00000000">
      <w:pPr>
        <w:spacing w:after="181" w:line="259" w:lineRule="auto"/>
        <w:ind w:left="0" w:firstLine="0"/>
        <w:jc w:val="left"/>
      </w:pPr>
      <w:r>
        <w:rPr>
          <w:rFonts w:ascii="Calibri" w:eastAsia="Calibri" w:hAnsi="Calibri" w:cs="Calibri"/>
          <w:noProof/>
          <w:color w:val="000000"/>
        </w:rPr>
        <mc:AlternateContent>
          <mc:Choice Requires="wpg">
            <w:drawing>
              <wp:inline distT="0" distB="0" distL="0" distR="0" wp14:anchorId="5E2F6BAE" wp14:editId="5C42E5E6">
                <wp:extent cx="6480000" cy="19050"/>
                <wp:effectExtent l="0" t="0" r="0" b="0"/>
                <wp:docPr id="902" name="Group 902"/>
                <wp:cNvGraphicFramePr/>
                <a:graphic xmlns:a="http://schemas.openxmlformats.org/drawingml/2006/main">
                  <a:graphicData uri="http://schemas.microsoft.com/office/word/2010/wordprocessingGroup">
                    <wpg:wgp>
                      <wpg:cNvGrpSpPr/>
                      <wpg:grpSpPr>
                        <a:xfrm>
                          <a:off x="0" y="0"/>
                          <a:ext cx="6480000" cy="19050"/>
                          <a:chOff x="0" y="0"/>
                          <a:chExt cx="6480000" cy="19050"/>
                        </a:xfrm>
                      </wpg:grpSpPr>
                      <wps:wsp>
                        <wps:cNvPr id="1054" name="Shape 1054"/>
                        <wps:cNvSpPr/>
                        <wps:spPr>
                          <a:xfrm>
                            <a:off x="0" y="0"/>
                            <a:ext cx="6480000" cy="19050"/>
                          </a:xfrm>
                          <a:custGeom>
                            <a:avLst/>
                            <a:gdLst/>
                            <a:ahLst/>
                            <a:cxnLst/>
                            <a:rect l="0" t="0" r="0" b="0"/>
                            <a:pathLst>
                              <a:path w="6480000" h="19050">
                                <a:moveTo>
                                  <a:pt x="0" y="0"/>
                                </a:moveTo>
                                <a:lnTo>
                                  <a:pt x="6480000" y="0"/>
                                </a:lnTo>
                                <a:lnTo>
                                  <a:pt x="6480000" y="19050"/>
                                </a:lnTo>
                                <a:lnTo>
                                  <a:pt x="0" y="19050"/>
                                </a:lnTo>
                                <a:lnTo>
                                  <a:pt x="0" y="0"/>
                                </a:lnTo>
                              </a:path>
                            </a:pathLst>
                          </a:custGeom>
                          <a:ln w="0" cap="flat">
                            <a:miter lim="127000"/>
                          </a:ln>
                        </wps:spPr>
                        <wps:style>
                          <a:lnRef idx="0">
                            <a:srgbClr val="000000">
                              <a:alpha val="0"/>
                            </a:srgbClr>
                          </a:lnRef>
                          <a:fillRef idx="1">
                            <a:srgbClr val="234E52"/>
                          </a:fillRef>
                          <a:effectRef idx="0">
                            <a:scrgbClr r="0" g="0" b="0"/>
                          </a:effectRef>
                          <a:fontRef idx="none"/>
                        </wps:style>
                        <wps:bodyPr/>
                      </wps:wsp>
                    </wpg:wgp>
                  </a:graphicData>
                </a:graphic>
              </wp:inline>
            </w:drawing>
          </mc:Choice>
          <mc:Fallback xmlns:a="http://schemas.openxmlformats.org/drawingml/2006/main">
            <w:pict>
              <v:group id="Group 902" style="width:510.236pt;height:1.5pt;mso-position-horizontal-relative:char;mso-position-vertical-relative:line" coordsize="64800,190">
                <v:shape id="Shape 1055" style="position:absolute;width:64800;height:190;left:0;top:0;" coordsize="6480000,19050" path="m0,0l6480000,0l6480000,19050l0,19050l0,0">
                  <v:stroke weight="0pt" endcap="flat" joinstyle="miter" miterlimit="10" on="false" color="#000000" opacity="0"/>
                  <v:fill on="true" color="#234e52"/>
                </v:shape>
              </v:group>
            </w:pict>
          </mc:Fallback>
        </mc:AlternateContent>
      </w:r>
    </w:p>
    <w:p w14:paraId="42C74EC2" w14:textId="2D450F1C" w:rsidR="000B1079" w:rsidRDefault="000B1079">
      <w:pPr>
        <w:spacing w:after="489" w:line="259" w:lineRule="auto"/>
        <w:ind w:left="0" w:right="2" w:firstLine="0"/>
        <w:jc w:val="center"/>
      </w:pPr>
    </w:p>
    <w:p w14:paraId="732550D9" w14:textId="77777777" w:rsidR="000B1079" w:rsidRDefault="00000000">
      <w:pPr>
        <w:pStyle w:val="Heading1"/>
        <w:ind w:left="-5"/>
      </w:pPr>
      <w:r>
        <w:rPr>
          <w:rFonts w:ascii="Calibri" w:eastAsia="Calibri" w:hAnsi="Calibri" w:cs="Calibri"/>
          <w:noProof/>
          <w:color w:val="000000"/>
        </w:rPr>
        <mc:AlternateContent>
          <mc:Choice Requires="wpg">
            <w:drawing>
              <wp:inline distT="0" distB="0" distL="0" distR="0" wp14:anchorId="0D7A93C8" wp14:editId="3284105C">
                <wp:extent cx="47625" cy="284480"/>
                <wp:effectExtent l="0" t="0" r="0" b="0"/>
                <wp:docPr id="903" name="Group 903"/>
                <wp:cNvGraphicFramePr/>
                <a:graphic xmlns:a="http://schemas.openxmlformats.org/drawingml/2006/main">
                  <a:graphicData uri="http://schemas.microsoft.com/office/word/2010/wordprocessingGroup">
                    <wpg:wgp>
                      <wpg:cNvGrpSpPr/>
                      <wpg:grpSpPr>
                        <a:xfrm>
                          <a:off x="0" y="0"/>
                          <a:ext cx="47625" cy="284480"/>
                          <a:chOff x="0" y="0"/>
                          <a:chExt cx="47625" cy="284480"/>
                        </a:xfrm>
                      </wpg:grpSpPr>
                      <wps:wsp>
                        <wps:cNvPr id="1056" name="Shape 1056"/>
                        <wps:cNvSpPr/>
                        <wps:spPr>
                          <a:xfrm>
                            <a:off x="0" y="0"/>
                            <a:ext cx="47625" cy="284480"/>
                          </a:xfrm>
                          <a:custGeom>
                            <a:avLst/>
                            <a:gdLst/>
                            <a:ahLst/>
                            <a:cxnLst/>
                            <a:rect l="0" t="0" r="0" b="0"/>
                            <a:pathLst>
                              <a:path w="47625" h="284480">
                                <a:moveTo>
                                  <a:pt x="0" y="0"/>
                                </a:moveTo>
                                <a:lnTo>
                                  <a:pt x="47625" y="0"/>
                                </a:lnTo>
                                <a:lnTo>
                                  <a:pt x="47625" y="284480"/>
                                </a:lnTo>
                                <a:lnTo>
                                  <a:pt x="0" y="284480"/>
                                </a:lnTo>
                                <a:lnTo>
                                  <a:pt x="0" y="0"/>
                                </a:lnTo>
                              </a:path>
                            </a:pathLst>
                          </a:custGeom>
                          <a:ln w="0" cap="flat">
                            <a:miter lim="127000"/>
                          </a:ln>
                        </wps:spPr>
                        <wps:style>
                          <a:lnRef idx="0">
                            <a:srgbClr val="000000">
                              <a:alpha val="0"/>
                            </a:srgbClr>
                          </a:lnRef>
                          <a:fillRef idx="1">
                            <a:srgbClr val="319795"/>
                          </a:fillRef>
                          <a:effectRef idx="0">
                            <a:scrgbClr r="0" g="0" b="0"/>
                          </a:effectRef>
                          <a:fontRef idx="none"/>
                        </wps:style>
                        <wps:bodyPr/>
                      </wps:wsp>
                    </wpg:wgp>
                  </a:graphicData>
                </a:graphic>
              </wp:inline>
            </w:drawing>
          </mc:Choice>
          <mc:Fallback xmlns:a="http://schemas.openxmlformats.org/drawingml/2006/main">
            <w:pict>
              <v:group id="Group 903" style="width:3.75pt;height:22.4pt;mso-position-horizontal-relative:char;mso-position-vertical-relative:line" coordsize="476,2844">
                <v:shape id="Shape 1057" style="position:absolute;width:476;height:2844;left:0;top:0;" coordsize="47625,284480" path="m0,0l47625,0l47625,284480l0,284480l0,0">
                  <v:stroke weight="0pt" endcap="flat" joinstyle="miter" miterlimit="10" on="false" color="#000000" opacity="0"/>
                  <v:fill on="true" color="#319795"/>
                </v:shape>
              </v:group>
            </w:pict>
          </mc:Fallback>
        </mc:AlternateContent>
      </w:r>
      <w:r>
        <w:t xml:space="preserve"> 1. Solution Overview</w:t>
      </w:r>
    </w:p>
    <w:p w14:paraId="799B9601" w14:textId="77777777" w:rsidR="000B1079" w:rsidRDefault="00000000">
      <w:pPr>
        <w:spacing w:after="353"/>
        <w:ind w:left="0" w:right="-12" w:firstLine="0"/>
      </w:pPr>
      <w:r>
        <w:t>The proposed Online Complaint Registration System replaces manual grievance processing with an automated, modern web platform. Developed using the full MERN architecture, this system provides transparent digital tracking pipelines for citizens while establishing secure, centralized administration hubs for operators. The application focuses on ensuring complete data clarity throughout the lifecycle of every submitted ticket.</w:t>
      </w:r>
    </w:p>
    <w:p w14:paraId="60D6AA42" w14:textId="77777777" w:rsidR="000B1079" w:rsidRDefault="00000000">
      <w:pPr>
        <w:pStyle w:val="Heading1"/>
        <w:ind w:left="-5"/>
      </w:pPr>
      <w:r>
        <w:rPr>
          <w:rFonts w:ascii="Calibri" w:eastAsia="Calibri" w:hAnsi="Calibri" w:cs="Calibri"/>
          <w:noProof/>
          <w:color w:val="000000"/>
        </w:rPr>
        <mc:AlternateContent>
          <mc:Choice Requires="wpg">
            <w:drawing>
              <wp:inline distT="0" distB="0" distL="0" distR="0" wp14:anchorId="0F7475D0" wp14:editId="01D85E9E">
                <wp:extent cx="47625" cy="284480"/>
                <wp:effectExtent l="0" t="0" r="0" b="0"/>
                <wp:docPr id="904" name="Group 904"/>
                <wp:cNvGraphicFramePr/>
                <a:graphic xmlns:a="http://schemas.openxmlformats.org/drawingml/2006/main">
                  <a:graphicData uri="http://schemas.microsoft.com/office/word/2010/wordprocessingGroup">
                    <wpg:wgp>
                      <wpg:cNvGrpSpPr/>
                      <wpg:grpSpPr>
                        <a:xfrm>
                          <a:off x="0" y="0"/>
                          <a:ext cx="47625" cy="284480"/>
                          <a:chOff x="0" y="0"/>
                          <a:chExt cx="47625" cy="284480"/>
                        </a:xfrm>
                      </wpg:grpSpPr>
                      <wps:wsp>
                        <wps:cNvPr id="1058" name="Shape 1058"/>
                        <wps:cNvSpPr/>
                        <wps:spPr>
                          <a:xfrm>
                            <a:off x="0" y="0"/>
                            <a:ext cx="47625" cy="284480"/>
                          </a:xfrm>
                          <a:custGeom>
                            <a:avLst/>
                            <a:gdLst/>
                            <a:ahLst/>
                            <a:cxnLst/>
                            <a:rect l="0" t="0" r="0" b="0"/>
                            <a:pathLst>
                              <a:path w="47625" h="284480">
                                <a:moveTo>
                                  <a:pt x="0" y="0"/>
                                </a:moveTo>
                                <a:lnTo>
                                  <a:pt x="47625" y="0"/>
                                </a:lnTo>
                                <a:lnTo>
                                  <a:pt x="47625" y="284480"/>
                                </a:lnTo>
                                <a:lnTo>
                                  <a:pt x="0" y="284480"/>
                                </a:lnTo>
                                <a:lnTo>
                                  <a:pt x="0" y="0"/>
                                </a:lnTo>
                              </a:path>
                            </a:pathLst>
                          </a:custGeom>
                          <a:ln w="0" cap="flat">
                            <a:miter lim="127000"/>
                          </a:ln>
                        </wps:spPr>
                        <wps:style>
                          <a:lnRef idx="0">
                            <a:srgbClr val="000000">
                              <a:alpha val="0"/>
                            </a:srgbClr>
                          </a:lnRef>
                          <a:fillRef idx="1">
                            <a:srgbClr val="319795"/>
                          </a:fillRef>
                          <a:effectRef idx="0">
                            <a:scrgbClr r="0" g="0" b="0"/>
                          </a:effectRef>
                          <a:fontRef idx="none"/>
                        </wps:style>
                        <wps:bodyPr/>
                      </wps:wsp>
                    </wpg:wgp>
                  </a:graphicData>
                </a:graphic>
              </wp:inline>
            </w:drawing>
          </mc:Choice>
          <mc:Fallback xmlns:a="http://schemas.openxmlformats.org/drawingml/2006/main">
            <w:pict>
              <v:group id="Group 904" style="width:3.75pt;height:22.4pt;mso-position-horizontal-relative:char;mso-position-vertical-relative:line" coordsize="476,2844">
                <v:shape id="Shape 1059" style="position:absolute;width:476;height:2844;left:0;top:0;" coordsize="47625,284480" path="m0,0l47625,0l47625,284480l0,284480l0,0">
                  <v:stroke weight="0pt" endcap="flat" joinstyle="miter" miterlimit="10" on="false" color="#000000" opacity="0"/>
                  <v:fill on="true" color="#319795"/>
                </v:shape>
              </v:group>
            </w:pict>
          </mc:Fallback>
        </mc:AlternateContent>
      </w:r>
      <w:r>
        <w:t xml:space="preserve"> 2. Core Functional Pillars</w:t>
      </w:r>
    </w:p>
    <w:p w14:paraId="264E9698" w14:textId="77777777" w:rsidR="000B1079" w:rsidRDefault="00000000">
      <w:pPr>
        <w:numPr>
          <w:ilvl w:val="0"/>
          <w:numId w:val="1"/>
        </w:numPr>
        <w:ind w:right="-12" w:hanging="132"/>
      </w:pPr>
      <w:r>
        <w:rPr>
          <w:b/>
        </w:rPr>
        <w:t>User Authentication Framework:</w:t>
      </w:r>
      <w:r>
        <w:t xml:space="preserve"> Secure login interfaces for both users and administrators, powered by encrypted registration workflows.</w:t>
      </w:r>
    </w:p>
    <w:p w14:paraId="2FF41F49" w14:textId="77777777" w:rsidR="000B1079" w:rsidRDefault="00000000">
      <w:pPr>
        <w:numPr>
          <w:ilvl w:val="0"/>
          <w:numId w:val="1"/>
        </w:numPr>
        <w:ind w:right="-12" w:hanging="132"/>
      </w:pPr>
      <w:r>
        <w:rPr>
          <w:b/>
        </w:rPr>
        <w:t>Structured Complaint Ingestion:</w:t>
      </w:r>
      <w:r>
        <w:t xml:space="preserve"> Form fields backed by client-side format checking to capture and store complete grievance parameters.</w:t>
      </w:r>
    </w:p>
    <w:p w14:paraId="4360F3BC" w14:textId="77777777" w:rsidR="000B1079" w:rsidRDefault="00000000">
      <w:pPr>
        <w:numPr>
          <w:ilvl w:val="0"/>
          <w:numId w:val="1"/>
        </w:numPr>
        <w:ind w:right="-12" w:hanging="132"/>
      </w:pPr>
      <w:r>
        <w:rPr>
          <w:b/>
        </w:rPr>
        <w:t>Dynamic Alphanumeric Status Tracking:</w:t>
      </w:r>
      <w:r>
        <w:t xml:space="preserve"> Direct lookup channels that let users verify the live status of their tickets (Pending, In-Progress, Resolved) in real time.</w:t>
      </w:r>
    </w:p>
    <w:p w14:paraId="79734052" w14:textId="77777777" w:rsidR="000B1079" w:rsidRDefault="00000000">
      <w:pPr>
        <w:numPr>
          <w:ilvl w:val="0"/>
          <w:numId w:val="1"/>
        </w:numPr>
        <w:spacing w:after="353"/>
        <w:ind w:right="-12" w:hanging="132"/>
      </w:pPr>
      <w:r>
        <w:rPr>
          <w:b/>
        </w:rPr>
        <w:t>Central Administrative Management:</w:t>
      </w:r>
      <w:r>
        <w:t xml:space="preserve"> Operational dashboards providing management teams with tools to update ticket parameters, filter records, and track performance.</w:t>
      </w:r>
    </w:p>
    <w:p w14:paraId="55777F80" w14:textId="77777777" w:rsidR="000B1079" w:rsidRDefault="00000000">
      <w:pPr>
        <w:pStyle w:val="Heading1"/>
        <w:spacing w:after="0"/>
        <w:ind w:left="-5"/>
      </w:pPr>
      <w:r>
        <w:rPr>
          <w:rFonts w:ascii="Calibri" w:eastAsia="Calibri" w:hAnsi="Calibri" w:cs="Calibri"/>
          <w:noProof/>
          <w:color w:val="000000"/>
        </w:rPr>
        <mc:AlternateContent>
          <mc:Choice Requires="wpg">
            <w:drawing>
              <wp:inline distT="0" distB="0" distL="0" distR="0" wp14:anchorId="64B293C3" wp14:editId="31DB7ACE">
                <wp:extent cx="47625" cy="284480"/>
                <wp:effectExtent l="0" t="0" r="0" b="0"/>
                <wp:docPr id="905" name="Group 905"/>
                <wp:cNvGraphicFramePr/>
                <a:graphic xmlns:a="http://schemas.openxmlformats.org/drawingml/2006/main">
                  <a:graphicData uri="http://schemas.microsoft.com/office/word/2010/wordprocessingGroup">
                    <wpg:wgp>
                      <wpg:cNvGrpSpPr/>
                      <wpg:grpSpPr>
                        <a:xfrm>
                          <a:off x="0" y="0"/>
                          <a:ext cx="47625" cy="284480"/>
                          <a:chOff x="0" y="0"/>
                          <a:chExt cx="47625" cy="284480"/>
                        </a:xfrm>
                      </wpg:grpSpPr>
                      <wps:wsp>
                        <wps:cNvPr id="1060" name="Shape 1060"/>
                        <wps:cNvSpPr/>
                        <wps:spPr>
                          <a:xfrm>
                            <a:off x="0" y="0"/>
                            <a:ext cx="47625" cy="284480"/>
                          </a:xfrm>
                          <a:custGeom>
                            <a:avLst/>
                            <a:gdLst/>
                            <a:ahLst/>
                            <a:cxnLst/>
                            <a:rect l="0" t="0" r="0" b="0"/>
                            <a:pathLst>
                              <a:path w="47625" h="284480">
                                <a:moveTo>
                                  <a:pt x="0" y="0"/>
                                </a:moveTo>
                                <a:lnTo>
                                  <a:pt x="47625" y="0"/>
                                </a:lnTo>
                                <a:lnTo>
                                  <a:pt x="47625" y="284480"/>
                                </a:lnTo>
                                <a:lnTo>
                                  <a:pt x="0" y="284480"/>
                                </a:lnTo>
                                <a:lnTo>
                                  <a:pt x="0" y="0"/>
                                </a:lnTo>
                              </a:path>
                            </a:pathLst>
                          </a:custGeom>
                          <a:ln w="0" cap="flat">
                            <a:miter lim="127000"/>
                          </a:ln>
                        </wps:spPr>
                        <wps:style>
                          <a:lnRef idx="0">
                            <a:srgbClr val="000000">
                              <a:alpha val="0"/>
                            </a:srgbClr>
                          </a:lnRef>
                          <a:fillRef idx="1">
                            <a:srgbClr val="319795"/>
                          </a:fillRef>
                          <a:effectRef idx="0">
                            <a:scrgbClr r="0" g="0" b="0"/>
                          </a:effectRef>
                          <a:fontRef idx="none"/>
                        </wps:style>
                        <wps:bodyPr/>
                      </wps:wsp>
                    </wpg:wgp>
                  </a:graphicData>
                </a:graphic>
              </wp:inline>
            </w:drawing>
          </mc:Choice>
          <mc:Fallback xmlns:a="http://schemas.openxmlformats.org/drawingml/2006/main">
            <w:pict>
              <v:group id="Group 905" style="width:3.75pt;height:22.4pt;mso-position-horizontal-relative:char;mso-position-vertical-relative:line" coordsize="476,2844">
                <v:shape id="Shape 1061" style="position:absolute;width:476;height:2844;left:0;top:0;" coordsize="47625,284480" path="m0,0l47625,0l47625,284480l0,284480l0,0">
                  <v:stroke weight="0pt" endcap="flat" joinstyle="miter" miterlimit="10" on="false" color="#000000" opacity="0"/>
                  <v:fill on="true" color="#319795"/>
                </v:shape>
              </v:group>
            </w:pict>
          </mc:Fallback>
        </mc:AlternateContent>
      </w:r>
      <w:r>
        <w:t xml:space="preserve"> 3. Problem-Solution Fit Analysis</w:t>
      </w:r>
    </w:p>
    <w:tbl>
      <w:tblPr>
        <w:tblStyle w:val="TableGrid"/>
        <w:tblW w:w="10190" w:type="dxa"/>
        <w:tblInd w:w="8" w:type="dxa"/>
        <w:tblCellMar>
          <w:top w:w="0" w:type="dxa"/>
          <w:left w:w="158" w:type="dxa"/>
          <w:bottom w:w="0" w:type="dxa"/>
          <w:right w:w="115" w:type="dxa"/>
        </w:tblCellMar>
        <w:tblLook w:val="04A0" w:firstRow="1" w:lastRow="0" w:firstColumn="1" w:lastColumn="0" w:noHBand="0" w:noVBand="1"/>
      </w:tblPr>
      <w:tblGrid>
        <w:gridCol w:w="3566"/>
        <w:gridCol w:w="6624"/>
      </w:tblGrid>
      <w:tr w:rsidR="000B1079" w14:paraId="2A35EB11" w14:textId="77777777">
        <w:trPr>
          <w:trHeight w:val="591"/>
        </w:trPr>
        <w:tc>
          <w:tcPr>
            <w:tcW w:w="3566" w:type="dxa"/>
            <w:tcBorders>
              <w:top w:val="single" w:sz="6" w:space="0" w:color="CBD5E0"/>
              <w:left w:val="single" w:sz="6" w:space="0" w:color="CBD5E0"/>
              <w:bottom w:val="single" w:sz="6" w:space="0" w:color="CBD5E0"/>
              <w:right w:val="single" w:sz="6" w:space="0" w:color="CBD5E0"/>
            </w:tcBorders>
            <w:shd w:val="clear" w:color="auto" w:fill="319795"/>
            <w:vAlign w:val="center"/>
          </w:tcPr>
          <w:p w14:paraId="64633920" w14:textId="77777777" w:rsidR="000B1079" w:rsidRDefault="00000000">
            <w:pPr>
              <w:spacing w:after="0" w:line="259" w:lineRule="auto"/>
              <w:ind w:left="0" w:firstLine="0"/>
              <w:jc w:val="left"/>
            </w:pPr>
            <w:r>
              <w:rPr>
                <w:b/>
                <w:color w:val="FFFFFF"/>
                <w:sz w:val="21"/>
              </w:rPr>
              <w:t>Targeted Operational Vulnerability</w:t>
            </w:r>
          </w:p>
        </w:tc>
        <w:tc>
          <w:tcPr>
            <w:tcW w:w="6623" w:type="dxa"/>
            <w:tcBorders>
              <w:top w:val="single" w:sz="6" w:space="0" w:color="CBD5E0"/>
              <w:left w:val="single" w:sz="6" w:space="0" w:color="CBD5E0"/>
              <w:bottom w:val="single" w:sz="6" w:space="0" w:color="CBD5E0"/>
              <w:right w:val="single" w:sz="6" w:space="0" w:color="CBD5E0"/>
            </w:tcBorders>
            <w:shd w:val="clear" w:color="auto" w:fill="319795"/>
            <w:vAlign w:val="center"/>
          </w:tcPr>
          <w:p w14:paraId="4D93627B" w14:textId="77777777" w:rsidR="000B1079" w:rsidRDefault="00000000">
            <w:pPr>
              <w:spacing w:after="0" w:line="259" w:lineRule="auto"/>
              <w:ind w:left="0" w:firstLine="0"/>
              <w:jc w:val="left"/>
            </w:pPr>
            <w:r>
              <w:rPr>
                <w:b/>
                <w:color w:val="FFFFFF"/>
                <w:sz w:val="21"/>
              </w:rPr>
              <w:t>Implemented Software Capability</w:t>
            </w:r>
          </w:p>
        </w:tc>
      </w:tr>
      <w:tr w:rsidR="000B1079" w14:paraId="36A10F69" w14:textId="77777777">
        <w:trPr>
          <w:trHeight w:val="927"/>
        </w:trPr>
        <w:tc>
          <w:tcPr>
            <w:tcW w:w="3566" w:type="dxa"/>
            <w:tcBorders>
              <w:top w:val="single" w:sz="6" w:space="0" w:color="CBD5E0"/>
              <w:left w:val="single" w:sz="6" w:space="0" w:color="CBD5E0"/>
              <w:bottom w:val="single" w:sz="6" w:space="0" w:color="CBD5E0"/>
              <w:right w:val="single" w:sz="6" w:space="0" w:color="CBD5E0"/>
            </w:tcBorders>
            <w:vAlign w:val="center"/>
          </w:tcPr>
          <w:p w14:paraId="7187B19B" w14:textId="77777777" w:rsidR="000B1079" w:rsidRDefault="00000000">
            <w:pPr>
              <w:spacing w:after="0" w:line="259" w:lineRule="auto"/>
              <w:ind w:left="0" w:right="75" w:firstLine="0"/>
              <w:jc w:val="left"/>
            </w:pPr>
            <w:r>
              <w:rPr>
                <w:sz w:val="21"/>
              </w:rPr>
              <w:t>Lack of operational tracking clarity for filed citizen grievances.</w:t>
            </w:r>
          </w:p>
        </w:tc>
        <w:tc>
          <w:tcPr>
            <w:tcW w:w="6623" w:type="dxa"/>
            <w:tcBorders>
              <w:top w:val="single" w:sz="6" w:space="0" w:color="CBD5E0"/>
              <w:left w:val="single" w:sz="6" w:space="0" w:color="CBD5E0"/>
              <w:bottom w:val="single" w:sz="6" w:space="0" w:color="CBD5E0"/>
              <w:right w:val="single" w:sz="6" w:space="0" w:color="CBD5E0"/>
            </w:tcBorders>
            <w:vAlign w:val="center"/>
          </w:tcPr>
          <w:p w14:paraId="7DB57D9E" w14:textId="77777777" w:rsidR="000B1079" w:rsidRDefault="00000000">
            <w:pPr>
              <w:spacing w:after="0" w:line="259" w:lineRule="auto"/>
              <w:ind w:left="0" w:firstLine="0"/>
              <w:jc w:val="left"/>
            </w:pPr>
            <w:r>
              <w:rPr>
                <w:b/>
                <w:sz w:val="21"/>
              </w:rPr>
              <w:t>Dynamic Tracking Module:</w:t>
            </w:r>
            <w:r>
              <w:rPr>
                <w:sz w:val="21"/>
              </w:rPr>
              <w:t xml:space="preserve"> Secure database queries that fetch real-time state flags.</w:t>
            </w:r>
          </w:p>
        </w:tc>
      </w:tr>
      <w:tr w:rsidR="000B1079" w14:paraId="4B915308" w14:textId="77777777">
        <w:trPr>
          <w:trHeight w:val="927"/>
        </w:trPr>
        <w:tc>
          <w:tcPr>
            <w:tcW w:w="3566" w:type="dxa"/>
            <w:tcBorders>
              <w:top w:val="single" w:sz="6" w:space="0" w:color="CBD5E0"/>
              <w:left w:val="single" w:sz="6" w:space="0" w:color="CBD5E0"/>
              <w:bottom w:val="single" w:sz="6" w:space="0" w:color="CBD5E0"/>
              <w:right w:val="single" w:sz="6" w:space="0" w:color="CBD5E0"/>
            </w:tcBorders>
            <w:shd w:val="clear" w:color="auto" w:fill="E6FFFA"/>
            <w:vAlign w:val="center"/>
          </w:tcPr>
          <w:p w14:paraId="5BD8F01B" w14:textId="77777777" w:rsidR="000B1079" w:rsidRDefault="00000000">
            <w:pPr>
              <w:spacing w:after="0" w:line="259" w:lineRule="auto"/>
              <w:ind w:left="0" w:firstLine="0"/>
              <w:jc w:val="left"/>
            </w:pPr>
            <w:r>
              <w:rPr>
                <w:sz w:val="21"/>
              </w:rPr>
              <w:t>Administrative delays from manual paperwork and indexing error risks.</w:t>
            </w:r>
          </w:p>
        </w:tc>
        <w:tc>
          <w:tcPr>
            <w:tcW w:w="6623" w:type="dxa"/>
            <w:tcBorders>
              <w:top w:val="single" w:sz="6" w:space="0" w:color="CBD5E0"/>
              <w:left w:val="single" w:sz="6" w:space="0" w:color="CBD5E0"/>
              <w:bottom w:val="single" w:sz="6" w:space="0" w:color="CBD5E0"/>
              <w:right w:val="single" w:sz="6" w:space="0" w:color="CBD5E0"/>
            </w:tcBorders>
            <w:shd w:val="clear" w:color="auto" w:fill="E6FFFA"/>
            <w:vAlign w:val="center"/>
          </w:tcPr>
          <w:p w14:paraId="2C802828" w14:textId="77777777" w:rsidR="000B1079" w:rsidRDefault="00000000">
            <w:pPr>
              <w:spacing w:after="0" w:line="259" w:lineRule="auto"/>
              <w:ind w:left="0" w:firstLine="0"/>
              <w:jc w:val="left"/>
            </w:pPr>
            <w:r>
              <w:rPr>
                <w:b/>
                <w:sz w:val="21"/>
              </w:rPr>
              <w:t>Centralized Management Dashboard:</w:t>
            </w:r>
            <w:r>
              <w:rPr>
                <w:sz w:val="21"/>
              </w:rPr>
              <w:t xml:space="preserve"> Consolidated views for quick status sorting and updating.</w:t>
            </w:r>
          </w:p>
        </w:tc>
      </w:tr>
      <w:tr w:rsidR="000B1079" w14:paraId="7A8B915C" w14:textId="77777777">
        <w:trPr>
          <w:trHeight w:val="927"/>
        </w:trPr>
        <w:tc>
          <w:tcPr>
            <w:tcW w:w="3566" w:type="dxa"/>
            <w:tcBorders>
              <w:top w:val="single" w:sz="6" w:space="0" w:color="CBD5E0"/>
              <w:left w:val="single" w:sz="6" w:space="0" w:color="CBD5E0"/>
              <w:bottom w:val="single" w:sz="6" w:space="0" w:color="CBD5E0"/>
              <w:right w:val="single" w:sz="6" w:space="0" w:color="CBD5E0"/>
            </w:tcBorders>
            <w:vAlign w:val="center"/>
          </w:tcPr>
          <w:p w14:paraId="212B4535" w14:textId="77777777" w:rsidR="000B1079" w:rsidRDefault="00000000">
            <w:pPr>
              <w:spacing w:after="0" w:line="259" w:lineRule="auto"/>
              <w:ind w:left="0" w:right="63" w:firstLine="0"/>
              <w:jc w:val="left"/>
            </w:pPr>
            <w:r>
              <w:rPr>
                <w:sz w:val="21"/>
              </w:rPr>
              <w:t>Risks of data exposure or unauthorized status changes.</w:t>
            </w:r>
          </w:p>
        </w:tc>
        <w:tc>
          <w:tcPr>
            <w:tcW w:w="6623" w:type="dxa"/>
            <w:tcBorders>
              <w:top w:val="single" w:sz="6" w:space="0" w:color="CBD5E0"/>
              <w:left w:val="single" w:sz="6" w:space="0" w:color="CBD5E0"/>
              <w:bottom w:val="single" w:sz="6" w:space="0" w:color="CBD5E0"/>
              <w:right w:val="single" w:sz="6" w:space="0" w:color="CBD5E0"/>
            </w:tcBorders>
            <w:vAlign w:val="center"/>
          </w:tcPr>
          <w:p w14:paraId="140AB9EE" w14:textId="77777777" w:rsidR="000B1079" w:rsidRDefault="00000000">
            <w:pPr>
              <w:spacing w:after="0" w:line="259" w:lineRule="auto"/>
              <w:ind w:left="0" w:firstLine="0"/>
              <w:jc w:val="left"/>
            </w:pPr>
            <w:r>
              <w:rPr>
                <w:b/>
                <w:sz w:val="21"/>
              </w:rPr>
              <w:t>Role-Based Access Control (RBAC):</w:t>
            </w:r>
            <w:r>
              <w:rPr>
                <w:sz w:val="21"/>
              </w:rPr>
              <w:t xml:space="preserve"> Route protection using signed cryptographic JSON Web Tokens (JWT).</w:t>
            </w:r>
          </w:p>
        </w:tc>
      </w:tr>
    </w:tbl>
    <w:p w14:paraId="57547593" w14:textId="721428DB" w:rsidR="000B1079" w:rsidRDefault="00000000">
      <w:pPr>
        <w:tabs>
          <w:tab w:val="right" w:pos="10208"/>
        </w:tabs>
        <w:spacing w:after="0" w:line="259" w:lineRule="auto"/>
        <w:ind w:left="0" w:firstLine="0"/>
        <w:jc w:val="left"/>
      </w:pPr>
      <w:r>
        <w:rPr>
          <w:rFonts w:ascii="Calibri" w:eastAsia="Calibri" w:hAnsi="Calibri" w:cs="Calibri"/>
          <w:color w:val="555555"/>
          <w:sz w:val="20"/>
        </w:rPr>
        <w:tab/>
      </w:r>
    </w:p>
    <w:sectPr w:rsidR="000B1079">
      <w:pgSz w:w="11906" w:h="16838"/>
      <w:pgMar w:top="1440" w:right="847" w:bottom="144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61F7B"/>
    <w:multiLevelType w:val="hybridMultilevel"/>
    <w:tmpl w:val="6F22FB50"/>
    <w:lvl w:ilvl="0" w:tplc="B69AD686">
      <w:start w:val="1"/>
      <w:numFmt w:val="bullet"/>
      <w:lvlText w:val="•"/>
      <w:lvlJc w:val="left"/>
      <w:pPr>
        <w:ind w:left="285"/>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1" w:tplc="9470097A">
      <w:start w:val="1"/>
      <w:numFmt w:val="bullet"/>
      <w:lvlText w:val="o"/>
      <w:lvlJc w:val="left"/>
      <w:pPr>
        <w:ind w:left="124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2" w:tplc="EA30D7A2">
      <w:start w:val="1"/>
      <w:numFmt w:val="bullet"/>
      <w:lvlText w:val="▪"/>
      <w:lvlJc w:val="left"/>
      <w:pPr>
        <w:ind w:left="196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3" w:tplc="DAE076A6">
      <w:start w:val="1"/>
      <w:numFmt w:val="bullet"/>
      <w:lvlText w:val="•"/>
      <w:lvlJc w:val="left"/>
      <w:pPr>
        <w:ind w:left="268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4" w:tplc="27EAB00C">
      <w:start w:val="1"/>
      <w:numFmt w:val="bullet"/>
      <w:lvlText w:val="o"/>
      <w:lvlJc w:val="left"/>
      <w:pPr>
        <w:ind w:left="340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5" w:tplc="642EA77C">
      <w:start w:val="1"/>
      <w:numFmt w:val="bullet"/>
      <w:lvlText w:val="▪"/>
      <w:lvlJc w:val="left"/>
      <w:pPr>
        <w:ind w:left="412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6" w:tplc="D60C1D54">
      <w:start w:val="1"/>
      <w:numFmt w:val="bullet"/>
      <w:lvlText w:val="•"/>
      <w:lvlJc w:val="left"/>
      <w:pPr>
        <w:ind w:left="484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7" w:tplc="63845664">
      <w:start w:val="1"/>
      <w:numFmt w:val="bullet"/>
      <w:lvlText w:val="o"/>
      <w:lvlJc w:val="left"/>
      <w:pPr>
        <w:ind w:left="556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8" w:tplc="B3BE2CE0">
      <w:start w:val="1"/>
      <w:numFmt w:val="bullet"/>
      <w:lvlText w:val="▪"/>
      <w:lvlJc w:val="left"/>
      <w:pPr>
        <w:ind w:left="628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abstractNum>
  <w:num w:numId="1" w16cid:durableId="1472554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079"/>
    <w:rsid w:val="000B1079"/>
    <w:rsid w:val="00261411"/>
    <w:rsid w:val="00FC6C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7489"/>
  <w15:docId w15:val="{4B8569CC-47BE-46D9-9B76-996443A15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1" w:line="331" w:lineRule="auto"/>
      <w:ind w:left="142" w:hanging="142"/>
      <w:jc w:val="both"/>
    </w:pPr>
    <w:rPr>
      <w:rFonts w:ascii="Times New Roman" w:eastAsia="Times New Roman" w:hAnsi="Times New Roman" w:cs="Times New Roman"/>
      <w:color w:val="111111"/>
      <w:sz w:val="22"/>
    </w:rPr>
  </w:style>
  <w:style w:type="paragraph" w:styleId="Heading1">
    <w:name w:val="heading 1"/>
    <w:next w:val="Normal"/>
    <w:link w:val="Heading1Char"/>
    <w:uiPriority w:val="9"/>
    <w:qFormat/>
    <w:pPr>
      <w:keepNext/>
      <w:keepLines/>
      <w:spacing w:after="193" w:line="259" w:lineRule="auto"/>
      <w:ind w:left="10" w:hanging="10"/>
      <w:outlineLvl w:val="0"/>
    </w:pPr>
    <w:rPr>
      <w:rFonts w:ascii="Times New Roman" w:eastAsia="Times New Roman" w:hAnsi="Times New Roman" w:cs="Times New Roman"/>
      <w:b/>
      <w:color w:val="234E52"/>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34E52"/>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249</Words>
  <Characters>1424</Characters>
  <Application>Microsoft Office Word</Application>
  <DocSecurity>0</DocSecurity>
  <Lines>11</Lines>
  <Paragraphs>3</Paragraphs>
  <ScaleCrop>false</ScaleCrop>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Project Documentation - Proposed Solution Specifications</dc:title>
  <dc:subject/>
  <dc:creator>chiluka Nikhitha</dc:creator>
  <cp:keywords/>
  <cp:lastModifiedBy>chiluka Nikhitha</cp:lastModifiedBy>
  <cp:revision>2</cp:revision>
  <dcterms:created xsi:type="dcterms:W3CDTF">2026-06-18T05:05:00Z</dcterms:created>
  <dcterms:modified xsi:type="dcterms:W3CDTF">2026-06-18T05:05:00Z</dcterms:modified>
</cp:coreProperties>
</file>