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8D87" w14:textId="0FA6B29C" w:rsidR="00CD3DEA" w:rsidRDefault="00DD20D7">
      <w:pPr>
        <w:spacing w:after="0"/>
        <w:ind w:right="6"/>
        <w:jc w:val="center"/>
      </w:pPr>
      <w:r>
        <w:rPr>
          <w:rFonts w:ascii="Times New Roman" w:eastAsia="Times New Roman" w:hAnsi="Times New Roman" w:cs="Times New Roman"/>
          <w:b/>
          <w:color w:val="1A365D"/>
          <w:sz w:val="40"/>
        </w:rPr>
        <w:t>DATA FLOW ARCHITECTURE</w:t>
      </w:r>
    </w:p>
    <w:p w14:paraId="6C3B62B6" w14:textId="77777777" w:rsidR="00CD3DEA" w:rsidRDefault="00000000">
      <w:pPr>
        <w:spacing w:after="181"/>
      </w:pPr>
      <w:r>
        <w:rPr>
          <w:noProof/>
        </w:rPr>
        <mc:AlternateContent>
          <mc:Choice Requires="wpg">
            <w:drawing>
              <wp:inline distT="0" distB="0" distL="0" distR="0" wp14:anchorId="42379831" wp14:editId="69D66A3D">
                <wp:extent cx="6480000" cy="19050"/>
                <wp:effectExtent l="0" t="0" r="0" b="0"/>
                <wp:docPr id="373" name="Group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496" name="Shape 496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" style="width:510.236pt;height:1.5pt;mso-position-horizontal-relative:char;mso-position-vertical-relative:line" coordsize="64800,190">
                <v:shape id="Shape 497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1a365d"/>
                </v:shape>
              </v:group>
            </w:pict>
          </mc:Fallback>
        </mc:AlternateContent>
      </w:r>
    </w:p>
    <w:p w14:paraId="7B2F6C73" w14:textId="77777777" w:rsidR="00DD20D7" w:rsidRDefault="00DD20D7">
      <w:pPr>
        <w:pStyle w:val="Heading1"/>
        <w:ind w:left="-5"/>
      </w:pPr>
    </w:p>
    <w:p w14:paraId="5EF98AEC" w14:textId="091EBC6E" w:rsidR="00CD3DEA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61B68937" wp14:editId="32BAE1C4">
                <wp:extent cx="47625" cy="284480"/>
                <wp:effectExtent l="0" t="0" r="0" b="0"/>
                <wp:docPr id="374" name="Group 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" style="width:3.75pt;height:22.4pt;mso-position-horizontal-relative:char;mso-position-vertical-relative:line" coordsize="476,2844">
                <v:shape id="Shape 499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1. Component Architecture Interactions</w:t>
      </w:r>
    </w:p>
    <w:p w14:paraId="26536963" w14:textId="77777777" w:rsidR="00CD3DEA" w:rsidRDefault="00000000">
      <w:pPr>
        <w:spacing w:after="353" w:line="331" w:lineRule="auto"/>
        <w:ind w:left="-5" w:right="-11" w:hanging="10"/>
        <w:jc w:val="both"/>
      </w:pPr>
      <w:r>
        <w:rPr>
          <w:rFonts w:ascii="Times New Roman" w:eastAsia="Times New Roman" w:hAnsi="Times New Roman" w:cs="Times New Roman"/>
          <w:color w:val="111111"/>
        </w:rPr>
        <w:t>The structural context loop maps how technical requests trace from user actions down through database persistence engines. This prevents architectural tracking gaps between functional expectations and actual source deployment logic.</w:t>
      </w:r>
    </w:p>
    <w:p w14:paraId="68FEB2C9" w14:textId="52A37013" w:rsidR="00CD3DEA" w:rsidRDefault="00000000">
      <w:pPr>
        <w:spacing w:after="950" w:line="265" w:lineRule="auto"/>
        <w:ind w:left="-5" w:hanging="10"/>
      </w:pPr>
      <w:r>
        <w:rPr>
          <w:noProof/>
        </w:rPr>
        <mc:AlternateContent>
          <mc:Choice Requires="wpg">
            <w:drawing>
              <wp:inline distT="0" distB="0" distL="0" distR="0" wp14:anchorId="4673ED6D" wp14:editId="6868448A">
                <wp:extent cx="47625" cy="284480"/>
                <wp:effectExtent l="0" t="0" r="0" b="0"/>
                <wp:docPr id="375" name="Group 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" style="width:3.75pt;height:22.4pt;mso-position-horizontal-relative:char;mso-position-vertical-relative:line" coordsize="476,2844">
                <v:shape id="Shape 501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1A365D"/>
          <w:sz w:val="28"/>
        </w:rPr>
        <w:t xml:space="preserve"> 2. Logical System Sequences Ma</w:t>
      </w:r>
      <w:r w:rsidR="00DD20D7">
        <w:rPr>
          <w:rFonts w:ascii="Times New Roman" w:eastAsia="Times New Roman" w:hAnsi="Times New Roman" w:cs="Times New Roman"/>
          <w:b/>
          <w:color w:val="1A365D"/>
          <w:sz w:val="28"/>
        </w:rPr>
        <w:t>p</w:t>
      </w:r>
    </w:p>
    <w:p w14:paraId="0E1DAF3A" w14:textId="6E16A111" w:rsidR="00CD3DEA" w:rsidRDefault="00DD20D7">
      <w:pPr>
        <w:pBdr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</w:pBdr>
        <w:shd w:val="clear" w:color="auto" w:fill="F8FAFC"/>
        <w:spacing w:after="686"/>
        <w:ind w:right="4"/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CB8EE55" wp14:editId="37BD23E4">
                <wp:extent cx="304800" cy="304800"/>
                <wp:effectExtent l="0" t="0" r="0" b="0"/>
                <wp:docPr id="137380569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8582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614D21" wp14:editId="3BC375A1">
            <wp:extent cx="5036045" cy="6918787"/>
            <wp:effectExtent l="0" t="0" r="0" b="0"/>
            <wp:docPr id="1192949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427" cy="6944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7EE42" w14:textId="77777777" w:rsidR="00CD3DEA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031A4917" wp14:editId="22729A80">
                <wp:extent cx="47625" cy="284480"/>
                <wp:effectExtent l="0" t="0" r="0" b="0"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502" name="Shape 502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" style="width:3.75pt;height:22.4pt;mso-position-horizontal-relative:char;mso-position-vertical-relative:line" coordsize="476,2844">
                <v:shape id="Shape 503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3. Data Validation Checkpoints</w:t>
      </w:r>
    </w:p>
    <w:p w14:paraId="6F80FB5A" w14:textId="0CF273C9" w:rsidR="00CD3DEA" w:rsidRDefault="00000000" w:rsidP="00DD20D7">
      <w:pPr>
        <w:spacing w:after="6397" w:line="331" w:lineRule="auto"/>
        <w:ind w:left="-5" w:right="-11" w:hanging="10"/>
        <w:jc w:val="both"/>
      </w:pPr>
      <w:r>
        <w:rPr>
          <w:rFonts w:ascii="Times New Roman" w:eastAsia="Times New Roman" w:hAnsi="Times New Roman" w:cs="Times New Roman"/>
          <w:color w:val="111111"/>
        </w:rPr>
        <w:t>To avoid security issues like privilege escalation or missing fields, the system uses strict boundaries. Incoming requests hit validation checkpoints before any data maps into a permanent collection database schema. If an event fails authentication or checks look invalid, error pipelines immediately break execution threads to keep records accurate.</w:t>
      </w:r>
      <w:r>
        <w:rPr>
          <w:color w:val="555555"/>
          <w:sz w:val="20"/>
        </w:rPr>
        <w:tab/>
        <w:t>1</w:t>
      </w:r>
    </w:p>
    <w:sectPr w:rsidR="00CD3DEA">
      <w:pgSz w:w="11906" w:h="16838"/>
      <w:pgMar w:top="1440" w:right="845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DEA"/>
    <w:rsid w:val="00C61F67"/>
    <w:rsid w:val="00CD3DEA"/>
    <w:rsid w:val="00DD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0F96"/>
  <w15:docId w15:val="{41B85BD5-0DAD-4848-A2D5-57851811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1A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A365D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Project Documentation - Phase 3: Data Flow &amp; Interface Architecture</dc:title>
  <dc:subject/>
  <dc:creator>chiluka Nikhitha</dc:creator>
  <cp:keywords/>
  <cp:lastModifiedBy>chiluka Nikhitha</cp:lastModifiedBy>
  <cp:revision>2</cp:revision>
  <dcterms:created xsi:type="dcterms:W3CDTF">2026-06-18T05:35:00Z</dcterms:created>
  <dcterms:modified xsi:type="dcterms:W3CDTF">2026-06-18T05:35:00Z</dcterms:modified>
</cp:coreProperties>
</file>