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B90C" w14:textId="68C47061" w:rsidR="00261BA5" w:rsidRDefault="00856222">
      <w:pPr>
        <w:spacing w:after="0" w:line="259" w:lineRule="auto"/>
        <w:ind w:left="0" w:right="1" w:firstLine="0"/>
        <w:jc w:val="center"/>
      </w:pPr>
      <w:r>
        <w:rPr>
          <w:b/>
          <w:color w:val="1A365D"/>
          <w:sz w:val="40"/>
        </w:rPr>
        <w:t>SOLUTION REQUIREMENTS</w:t>
      </w:r>
    </w:p>
    <w:p w14:paraId="4EF8E517" w14:textId="77777777" w:rsidR="00261BA5" w:rsidRDefault="00000000">
      <w:pPr>
        <w:spacing w:after="18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B39DE2B" wp14:editId="360CEA58">
                <wp:extent cx="6480000" cy="19050"/>
                <wp:effectExtent l="0" t="0" r="0" b="0"/>
                <wp:docPr id="1462" name="Group 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622" name="Shape 1622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" style="width:510.236pt;height:1.5pt;mso-position-horizontal-relative:char;mso-position-vertical-relative:line" coordsize="64800,190">
                <v:shape id="Shape 1623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</w:p>
    <w:p w14:paraId="3D797434" w14:textId="0FC13605" w:rsidR="00261BA5" w:rsidRDefault="00261BA5" w:rsidP="00856222">
      <w:pPr>
        <w:spacing w:after="489" w:line="259" w:lineRule="auto"/>
        <w:ind w:left="0" w:firstLine="0"/>
      </w:pPr>
    </w:p>
    <w:p w14:paraId="776BC85A" w14:textId="77777777" w:rsidR="00261BA5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886F9D4" wp14:editId="5D2AF4E8">
                <wp:extent cx="47625" cy="284480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624" name="Shape 1624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" style="width:3.75pt;height:22.4pt;mso-position-horizontal-relative:char;mso-position-vertical-relative:line" coordsize="476,2844">
                <v:shape id="Shape 1625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Functional Requirements Specification (FRS)</w:t>
      </w:r>
    </w:p>
    <w:p w14:paraId="7CF22040" w14:textId="77777777" w:rsidR="00261BA5" w:rsidRDefault="00000000">
      <w:pPr>
        <w:spacing w:line="259" w:lineRule="auto"/>
        <w:ind w:left="0" w:firstLine="0"/>
      </w:pPr>
      <w:r>
        <w:t>Functional requirements define the core behaviors, computations, and discrete entry points that the software platform must perform to address user workflows successfully.</w:t>
      </w:r>
    </w:p>
    <w:tbl>
      <w:tblPr>
        <w:tblStyle w:val="TableGrid"/>
        <w:tblW w:w="10190" w:type="dxa"/>
        <w:tblInd w:w="8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261BA5" w14:paraId="053E6990" w14:textId="77777777">
        <w:trPr>
          <w:trHeight w:val="651"/>
        </w:trPr>
        <w:tc>
          <w:tcPr>
            <w:tcW w:w="152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6FCC2551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Req ID</w:t>
            </w:r>
          </w:p>
        </w:tc>
        <w:tc>
          <w:tcPr>
            <w:tcW w:w="254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05C08E30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Module Component</w:t>
            </w:r>
          </w:p>
        </w:tc>
        <w:tc>
          <w:tcPr>
            <w:tcW w:w="611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471B815B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Functional System Specification</w:t>
            </w:r>
          </w:p>
        </w:tc>
      </w:tr>
      <w:tr w:rsidR="00261BA5" w14:paraId="1DEAB662" w14:textId="77777777">
        <w:trPr>
          <w:trHeight w:val="1659"/>
        </w:trPr>
        <w:tc>
          <w:tcPr>
            <w:tcW w:w="152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46646333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FR-1.0</w:t>
            </w:r>
          </w:p>
        </w:tc>
        <w:tc>
          <w:tcPr>
            <w:tcW w:w="254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143E639D" w14:textId="77777777" w:rsidR="00261BA5" w:rsidRDefault="00000000">
            <w:pPr>
              <w:spacing w:after="73" w:line="259" w:lineRule="auto"/>
              <w:ind w:left="0" w:firstLine="0"/>
            </w:pPr>
            <w:r>
              <w:rPr>
                <w:sz w:val="21"/>
              </w:rPr>
              <w:t>User Authentication</w:t>
            </w:r>
          </w:p>
          <w:p w14:paraId="38802779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Layer</w:t>
            </w:r>
          </w:p>
        </w:tc>
        <w:tc>
          <w:tcPr>
            <w:tcW w:w="611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27771198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The system must allow separate account sign-up and login mechanisms for citizens and administrators, processing passwords through cryptographic hashing algorithms before persisting to database storage.</w:t>
            </w:r>
          </w:p>
        </w:tc>
      </w:tr>
      <w:tr w:rsidR="00261BA5" w14:paraId="08C4B958" w14:textId="77777777">
        <w:trPr>
          <w:trHeight w:val="1323"/>
        </w:trPr>
        <w:tc>
          <w:tcPr>
            <w:tcW w:w="152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50638FFD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FR-2.0</w:t>
            </w:r>
          </w:p>
        </w:tc>
        <w:tc>
          <w:tcPr>
            <w:tcW w:w="254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1697B434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Grievance Intake Layer</w:t>
            </w:r>
          </w:p>
        </w:tc>
        <w:tc>
          <w:tcPr>
            <w:tcW w:w="611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54E8F9D1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The interface must provide structured text forms equipped with validation rules to catch missing keys or empty payloads prior to sending network requests.</w:t>
            </w:r>
          </w:p>
        </w:tc>
      </w:tr>
      <w:tr w:rsidR="00261BA5" w14:paraId="3E213BB1" w14:textId="77777777">
        <w:trPr>
          <w:trHeight w:val="1323"/>
        </w:trPr>
        <w:tc>
          <w:tcPr>
            <w:tcW w:w="152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7E072674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FR-3.0</w:t>
            </w:r>
          </w:p>
        </w:tc>
        <w:tc>
          <w:tcPr>
            <w:tcW w:w="254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735B26E6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Dynamic State Tracking</w:t>
            </w:r>
          </w:p>
        </w:tc>
        <w:tc>
          <w:tcPr>
            <w:tcW w:w="611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0AF04204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Complainants must be able to view an immutable timeline of their filed issues linked to real-time status indices (Pending, In-Progress, Resolved) straight from the database.</w:t>
            </w:r>
          </w:p>
        </w:tc>
      </w:tr>
      <w:tr w:rsidR="00261BA5" w14:paraId="0A1A3361" w14:textId="77777777">
        <w:trPr>
          <w:trHeight w:val="1323"/>
        </w:trPr>
        <w:tc>
          <w:tcPr>
            <w:tcW w:w="152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1BFBBD89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FR-4.0</w:t>
            </w:r>
          </w:p>
        </w:tc>
        <w:tc>
          <w:tcPr>
            <w:tcW w:w="254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23A2E825" w14:textId="77777777" w:rsidR="00261BA5" w:rsidRDefault="00000000">
            <w:pPr>
              <w:spacing w:after="73" w:line="259" w:lineRule="auto"/>
              <w:ind w:left="0" w:firstLine="0"/>
            </w:pPr>
            <w:r>
              <w:rPr>
                <w:sz w:val="21"/>
              </w:rPr>
              <w:t>Admin Management</w:t>
            </w:r>
          </w:p>
          <w:p w14:paraId="3BB08FD6" w14:textId="77777777" w:rsidR="00261BA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Stack</w:t>
            </w:r>
          </w:p>
        </w:tc>
        <w:tc>
          <w:tcPr>
            <w:tcW w:w="611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7F8AC7A6" w14:textId="77777777" w:rsidR="00261BA5" w:rsidRDefault="00000000">
            <w:pPr>
              <w:spacing w:after="0" w:line="259" w:lineRule="auto"/>
              <w:ind w:left="0" w:right="19" w:firstLine="0"/>
            </w:pPr>
            <w:r>
              <w:rPr>
                <w:sz w:val="21"/>
              </w:rPr>
              <w:t>Authorized personnel must be granted access to a centralized dashboard equipped with control pathways to update status indicators and filter incoming tickets.</w:t>
            </w:r>
          </w:p>
        </w:tc>
      </w:tr>
    </w:tbl>
    <w:p w14:paraId="2A31BE52" w14:textId="77777777" w:rsidR="00261BA5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4025FA4" wp14:editId="7A1BFDFA">
                <wp:extent cx="47625" cy="284480"/>
                <wp:effectExtent l="0" t="0" r="0" b="0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626" name="Shape 1626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4" style="width:3.75pt;height:22.4pt;mso-position-horizontal-relative:char;mso-position-vertical-relative:line" coordsize="476,2844">
                <v:shape id="Shape 1627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Non-Functional Requirements Specification (NFRS)</w:t>
      </w:r>
    </w:p>
    <w:p w14:paraId="515F1E77" w14:textId="77777777" w:rsidR="00261BA5" w:rsidRDefault="00000000">
      <w:pPr>
        <w:spacing w:after="181"/>
        <w:ind w:left="0" w:firstLine="0"/>
      </w:pPr>
      <w:r>
        <w:t>Non-functional architectural bounds address operational constraints, system safety boundaries, performance expectations, and security quality standards.</w:t>
      </w:r>
    </w:p>
    <w:p w14:paraId="49208A6E" w14:textId="77777777" w:rsidR="00261BA5" w:rsidRDefault="00000000">
      <w:pPr>
        <w:numPr>
          <w:ilvl w:val="0"/>
          <w:numId w:val="1"/>
        </w:numPr>
        <w:spacing w:after="91"/>
        <w:ind w:hanging="132"/>
      </w:pPr>
      <w:r>
        <w:rPr>
          <w:b/>
        </w:rPr>
        <w:t>Security &amp; Access Isolation (NFR-1):</w:t>
      </w:r>
      <w:r>
        <w:t xml:space="preserve"> Secure client routes using cryptographic validation signatures. REST backend controllers must reject any transaction lacking a signed JSON Web Token (JWT) parameter with an HTTP 401 response status code.</w:t>
      </w:r>
    </w:p>
    <w:p w14:paraId="35D72589" w14:textId="5D7158FF" w:rsidR="00261BA5" w:rsidRDefault="00000000" w:rsidP="00856222">
      <w:pPr>
        <w:numPr>
          <w:ilvl w:val="0"/>
          <w:numId w:val="1"/>
        </w:numPr>
        <w:spacing w:after="947"/>
        <w:ind w:hanging="132"/>
      </w:pPr>
      <w:r>
        <w:rPr>
          <w:b/>
        </w:rPr>
        <w:t>Query Execution &amp; Latency (NFR-2):</w:t>
      </w:r>
      <w:r>
        <w:t xml:space="preserve"> Maintain efficient lookups across the data store by using proper single and compound collection indices. This keeps historical and tracking query execution speeds within manageable limits.</w:t>
      </w:r>
    </w:p>
    <w:p w14:paraId="1DF0D576" w14:textId="69487793" w:rsidR="00261BA5" w:rsidRDefault="00000000" w:rsidP="00856222">
      <w:pPr>
        <w:numPr>
          <w:ilvl w:val="0"/>
          <w:numId w:val="1"/>
        </w:numPr>
        <w:spacing w:after="14270"/>
        <w:ind w:hanging="132"/>
      </w:pPr>
      <w:r>
        <w:rPr>
          <w:b/>
        </w:rPr>
        <w:t>Availability &amp; State Integrity (NFR-3):</w:t>
      </w:r>
      <w:r>
        <w:t xml:space="preserve"> Ensure consistent uptime and prevent lost states by utilizing database operations that confirm writes before returning a transaction response token to the logic tier.</w:t>
      </w:r>
      <w:r w:rsidRPr="00856222">
        <w:rPr>
          <w:rFonts w:ascii="Calibri" w:eastAsia="Calibri" w:hAnsi="Calibri" w:cs="Calibri"/>
          <w:color w:val="555555"/>
          <w:sz w:val="20"/>
        </w:rPr>
        <w:tab/>
        <w:t>2</w:t>
      </w:r>
    </w:p>
    <w:sectPr w:rsidR="00261BA5">
      <w:pgSz w:w="11906" w:h="16838"/>
      <w:pgMar w:top="1233" w:right="850" w:bottom="455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7BFD"/>
    <w:multiLevelType w:val="hybridMultilevel"/>
    <w:tmpl w:val="2196BB90"/>
    <w:lvl w:ilvl="0" w:tplc="20BE5F24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6C7200">
      <w:start w:val="1"/>
      <w:numFmt w:val="bullet"/>
      <w:lvlText w:val="o"/>
      <w:lvlJc w:val="left"/>
      <w:pPr>
        <w:ind w:left="1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07B16">
      <w:start w:val="1"/>
      <w:numFmt w:val="bullet"/>
      <w:lvlText w:val="▪"/>
      <w:lvlJc w:val="left"/>
      <w:pPr>
        <w:ind w:left="1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EC4DFC">
      <w:start w:val="1"/>
      <w:numFmt w:val="bullet"/>
      <w:lvlText w:val="•"/>
      <w:lvlJc w:val="left"/>
      <w:pPr>
        <w:ind w:left="2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7A685A">
      <w:start w:val="1"/>
      <w:numFmt w:val="bullet"/>
      <w:lvlText w:val="o"/>
      <w:lvlJc w:val="left"/>
      <w:pPr>
        <w:ind w:left="3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68A74C">
      <w:start w:val="1"/>
      <w:numFmt w:val="bullet"/>
      <w:lvlText w:val="▪"/>
      <w:lvlJc w:val="left"/>
      <w:pPr>
        <w:ind w:left="4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A4D3C6">
      <w:start w:val="1"/>
      <w:numFmt w:val="bullet"/>
      <w:lvlText w:val="•"/>
      <w:lvlJc w:val="left"/>
      <w:pPr>
        <w:ind w:left="4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A8F4F6">
      <w:start w:val="1"/>
      <w:numFmt w:val="bullet"/>
      <w:lvlText w:val="o"/>
      <w:lvlJc w:val="left"/>
      <w:pPr>
        <w:ind w:left="5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04B02A">
      <w:start w:val="1"/>
      <w:numFmt w:val="bullet"/>
      <w:lvlText w:val="▪"/>
      <w:lvlJc w:val="left"/>
      <w:pPr>
        <w:ind w:left="6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27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A5"/>
    <w:rsid w:val="00261BA5"/>
    <w:rsid w:val="00856222"/>
    <w:rsid w:val="00E3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52BB"/>
  <w15:docId w15:val="{442C2B2C-A154-49C4-ABEC-D0EFE895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331" w:lineRule="auto"/>
      <w:ind w:left="142" w:hanging="142"/>
    </w:pPr>
    <w:rPr>
      <w:rFonts w:ascii="Times New Roman" w:eastAsia="Times New Roman" w:hAnsi="Times New Roman" w:cs="Times New Roman"/>
      <w:color w:val="111111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Project Documentation - Phase 3: Requirements Analysis</dc:title>
  <dc:subject/>
  <dc:creator>chiluka Nikhitha</dc:creator>
  <cp:keywords/>
  <cp:lastModifiedBy>chiluka Nikhitha</cp:lastModifiedBy>
  <cp:revision>2</cp:revision>
  <dcterms:created xsi:type="dcterms:W3CDTF">2026-06-18T05:39:00Z</dcterms:created>
  <dcterms:modified xsi:type="dcterms:W3CDTF">2026-06-18T05:39:00Z</dcterms:modified>
</cp:coreProperties>
</file>