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color w:val="1E3A8A"/>
          <w:sz w:val="32"/>
        </w:rPr>
        <w:t>PROYECTO DE INVESTIGACIÓN EN PSICOLOGÍA TRASLACIONAL</w:t>
      </w:r>
    </w:p>
    <w:p>
      <w:pPr>
        <w:spacing w:after="120"/>
      </w:pPr>
      <w:r>
        <w:rPr>
          <w:b/>
        </w:rPr>
        <w:t xml:space="preserve">Título del Programa: </w:t>
      </w:r>
      <w:r>
        <w:t xml:space="preserve">Modulación en Lazo Cerrado de Señales Interoceptivas Cardíacas mediante Biofeedback Háptico durante Procedimientos Basados en la Exposición: Violación de Expectativas, Aprendizaje por Alivio y Consolidación de la Extinción.</w:t>
      </w:r>
    </w:p>
    <w:p>
      <w:pPr>
        <w:spacing w:after="120"/>
      </w:pPr>
      <w:r>
        <w:rPr>
          <w:b/>
        </w:rPr>
        <w:t xml:space="preserve">Plataforma Tecnológica Institucional: </w:t>
      </w:r>
      <w:r>
        <w:t xml:space="preserve">Ecosistema Microsoft (.NET MAUI / C# en Visual Studio 2022, Microsoft Edge Web Bluetooth, Microsoft Excel / OneDrive / SharePoint).</w:t>
      </w:r>
    </w:p>
    <w:p>
      <w:pPr>
        <w:spacing w:before="240" w:after="120"/>
      </w:pPr>
      <w:r>
        <w:rPr>
          <w:b/>
          <w:color w:val="0F172A"/>
          <w:sz w:val="26"/>
        </w:rPr>
        <w:t>1. Planteamiento del Problema y Originalidad Estricta frente a la Literatura</w:t>
      </w:r>
    </w:p>
    <w:p>
      <w:pPr>
        <w:spacing w:after="120"/>
      </w:pPr>
      <w:r>
        <w:rPr>
          <w:b/>
        </w:rPr>
        <w:t xml:space="preserve">Fundamento Traslacional: </w:t>
      </w:r>
      <w:r>
        <w:t xml:space="preserve">En los modelos contemporáneos de Aprendizaje Inhibitorio (Craske et al., 2014, 2022) y Codificación Predictiva Interoceptiva (Seth, 2013; Paulus &amp; Stein, 2010), el mantenimiento del miedo en individuos con alta sensibilidad a la ansiedad (procesamiento bottom-up) responde a dos fallos computacionales: (1) la hiperprecisión asignada a la taquicardia como señal de peligro inminente y (2) la ceguera interoceptiva al inicio de la desaceleración autonómica espontánea, lo que atenúa el error de predicción de recompensa por alivio (relief learning; Kalisch et al., 2019).</w:t>
      </w:r>
    </w:p>
    <w:p>
      <w:pPr>
        <w:spacing w:after="120"/>
      </w:pPr>
      <w:r>
        <w:rPr>
          <w:b/>
        </w:rPr>
        <w:t xml:space="preserve">Diferenciación de Estudios Previos (Por qué estos 3 experimentos son 100% inéditos): </w:t>
      </w:r>
      <w:r>
        <w:t xml:space="preserve">A diferencia de los estudios clásicos de feedback visual/auditivo (Telch et al., 2000) que competían con la atención visual hacia el estímulo fóbico, y a diferencia de los dispositivos de vibración lenta constante a 60 BPM (Azevedo et al., 2017; Costa et al., 2016) que operan como tranquilizantes o señales de seguridad (safety signals), este programa introduce por primera vez un sistema háptico en lazo cerrado contingente a la primera derivada temporal de la frecuencia cardíaca (dFC/dt) sin instrucción de regulación voluntaria, evaluando la consolidación en pruebas de retención y renovación SIN el dispositivo.</w:t>
      </w:r>
    </w:p>
    <w:p>
      <w:pPr>
        <w:spacing w:before="240" w:after="120"/>
      </w:pPr>
      <w:r>
        <w:rPr>
          <w:b/>
          <w:color w:val="0F172A"/>
          <w:sz w:val="26"/>
        </w:rPr>
        <w:t>2. Serie de Tres Experimentos (Muestra Subclínica con Miedos Específicos)</w:t>
      </w:r>
    </w:p>
    <w:p>
      <w:pPr>
        <w:spacing w:before="240" w:after="120"/>
      </w:pPr>
      <w:r>
        <w:rPr>
          <w:b/>
          <w:color w:val="0F172A"/>
          <w:sz w:val="24"/>
        </w:rPr>
        <w:t>Experimento 1: Disociación de Ventanas de la Curva Autonómica (Pico vs. Derivada de Alivio)</w:t>
      </w:r>
    </w:p>
    <w:p>
      <w:pPr>
        <w:spacing w:after="120"/>
      </w:pPr>
      <w:r>
        <w:rPr>
          <w:b/>
        </w:rPr>
        <w:t xml:space="preserve">Objetivo: </w:t>
      </w:r>
      <w:r>
        <w:t xml:space="preserve">Contrastar experimentalmente si la consolidación del aprendizaje inhibitorio (medida a las 48 h sin feedback) es impulsada por la saliencia háptica del pico simpático (violación de expectativa interoceptiva) o por la saliencia exclusiva de la pendiente negativa de desaceleración vagal (dFC/dt &lt;= -2.5 BPM/10s; amplificación de la señal de alivio).</w:t>
      </w:r>
    </w:p>
    <w:p>
      <w:pPr>
        <w:spacing w:after="120"/>
      </w:pPr>
      <w:r>
        <w:rPr>
          <w:b/>
        </w:rPr>
        <w:t xml:space="preserve">Grupos Experimentales (Diseño 5 x 3, N = 100): </w:t>
      </w:r>
      <w:r>
        <w:t xml:space="preserve">(1) Bloqueado al Pico (Arousal-Locked), (2) Bloqueado a la Derivada de Alivio (Relief-Derivative-Locked), (3) Bifásico Continuo 1:1, (4) Control Activo Sham/Yoked desacoplado, y (5) Exposición Estándar sin vibración.</w:t>
      </w:r>
    </w:p>
    <w:p>
      <w:pPr>
        <w:spacing w:before="240" w:after="120"/>
      </w:pPr>
      <w:r>
        <w:rPr>
          <w:b/>
          <w:color w:val="0F172A"/>
          <w:sz w:val="24"/>
        </w:rPr>
        <w:t>Experimento 2: Perturbación de la Ganancia de la Pendiente de Recuperación (Slope-Gain Perturbation)</w:t>
      </w:r>
    </w:p>
    <w:p>
      <w:pPr>
        <w:spacing w:after="120"/>
      </w:pPr>
      <w:r>
        <w:rPr>
          <w:b/>
        </w:rPr>
        <w:t xml:space="preserve">Objetivo: </w:t>
      </w:r>
      <w:r>
        <w:t xml:space="preserve">Resolver el sesgo de baja credibilidad del falso feedback estático clásico. Todos los participantes experimentan su pico cardíaco 100% verídico durante el contacto inicial con el estímulo fóbico y, únicamente cuando inicia la recuperación autonómica real, el software modula la ganancia de la pendiente de descenso: FC_haptica(t) = FC_pico - gamma * (FC_pico - FC_real(t)).</w:t>
      </w:r>
    </w:p>
    <w:p>
      <w:pPr>
        <w:spacing w:after="120"/>
      </w:pPr>
      <w:r>
        <w:rPr>
          <w:b/>
        </w:rPr>
        <w:t xml:space="preserve">Condiciones (N = 72): </w:t>
      </w:r>
      <w:r>
        <w:t xml:space="preserve">(1) Meseta Prolongada / Extinción Interoceptiva Profundizada (gamma = 0.35), (2) Trayectoria Verídica (gamma = 1.00), y (3) Alivio Temprano Amplificado (gamma = 1.75).</w:t>
      </w:r>
    </w:p>
    <w:p>
      <w:pPr>
        <w:spacing w:before="240" w:after="120"/>
      </w:pPr>
      <w:r>
        <w:rPr>
          <w:b/>
          <w:color w:val="0F172A"/>
          <w:sz w:val="24"/>
        </w:rPr>
        <w:t>Experimento 3: Desvanecimiento Háptico Adaptativo (Adaptive Fading) contra la Renovación Contextual ABA</w:t>
      </w:r>
    </w:p>
    <w:p>
      <w:pPr>
        <w:spacing w:after="120"/>
      </w:pPr>
      <w:r>
        <w:rPr>
          <w:b/>
        </w:rPr>
        <w:t xml:space="preserve">Objetivo: </w:t>
      </w:r>
      <w:r>
        <w:t xml:space="preserve">Prevenir que el biofeedback háptico adquiera propiedades de inhibidor condicionado (señal de seguridad) que provoque renovación del miedo al cambiar del Contexto A al Contexto B sin el dispositivo.</w:t>
      </w:r>
    </w:p>
    <w:p>
      <w:pPr>
        <w:spacing w:after="120"/>
      </w:pPr>
      <w:r>
        <w:rPr>
          <w:b/>
        </w:rPr>
        <w:t xml:space="preserve">Condiciones (N = 66): </w:t>
      </w:r>
      <w:r>
        <w:t xml:space="preserve">(1) Retiro Abrupto (100% de intensidad en Bloques 1 a 5 -&gt; 0% en Test ABA), (2) Desvanecimiento Adaptativo (atenuación paramétrica de la duración del pulso vibratorio: 100% -&gt; 80% -&gt; 60% -&gt; 35% -&gt; 15% entre los Bloques 1 y 5), y (3) Exposición Estándar sin feedback.</w:t>
      </w:r>
    </w:p>
    <w:p>
      <w:pPr>
        <w:spacing w:before="240" w:after="120"/>
      </w:pPr>
      <w:r>
        <w:rPr>
          <w:b/>
          <w:color w:val="0F172A"/>
          <w:sz w:val="26"/>
        </w:rPr>
        <w:t>3. Instrumentación Biomédica y Ecosistema Microsoft</w:t>
      </w:r>
    </w:p>
    <w:p>
      <w:pPr>
        <w:spacing w:after="120"/>
      </w:pPr>
      <w:r>
        <w:rPr>
          <w:b/>
        </w:rPr>
        <w:t xml:space="preserve">Hardware: </w:t>
      </w:r>
      <w:r>
        <w:t xml:space="preserve">Banda pectoral Bluetooth Low Energy con perfil GATT Heart Rate Service estándar (UUID 0x180D / 0x2A37, resolución de intervalos R-R a 1/1024 s) acoplada a un smartphone mediante la aplicación nativa en .NET MAUI (C#) o Microsoft Edge.</w:t>
      </w:r>
    </w:p>
    <w:p>
      <w:pPr>
        <w:spacing w:after="120"/>
      </w:pPr>
      <w:r>
        <w:rPr>
          <w:b/>
        </w:rPr>
        <w:t xml:space="preserve">Variables Dependientes Primarias: </w:t>
      </w:r>
      <w:r>
        <w:t xml:space="preserve">(a) Expectativa de consecuencia catastrófica (0-100%), (b) Error de Calibración Interoceptiva en vivo (FC_percibida - FC_real), (c) Alivio subjetivo post-bloque (0-100), (d) Reactividad autonómica (Delta FC y RMSSD vagal), y (e) Índice de Retorno del Miedo y pasos en el Test de Aproximación Conductual (BAT) a las 48 horas sin feedback.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