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Driver Briefs: The Thinking and the Agent Team</w:t>
      </w:r>
    </w:p>
    <w:p>
      <w:pPr/>
      <w:r>
        <w:t xml:space="preserve">Oct 20, 2026</w:t>
      </w:r>
      <w:r>
        <w:t xml:space="preserve"> · </w:t>
      </w:r>
      <w:r>
        <w:t xml:space="preserve">@Chimdi Chewka</w:t>
      </w:r>
    </w:p>
    <w:p>
      <w:pPr>
        <w:pStyle w:val="Heading2"/>
      </w:pPr>
      <w:r>
        <w:t xml:space="preserve">Purpose</w:t>
      </w:r>
    </w:p>
    <w:p>
      <w:pPr/>
      <w:r>
        <w:t xml:space="preserve">A driver brief is the standing "lay of the land" for one of the six macro drivers: Global Affluence, Geopolitics, Human Health, Climate Volatility, Technology, and Ownership. In the farm intelligence system it is the synthesized context every update reads first, so an update can tell a farmer whether a change is a blip or part of a trend.</w:t>
      </w:r>
    </w:p>
    <w:p>
      <w:pPr/>
      <w:r>
        <w:t xml:space="preserve">This document prescribes how the briefs are thought through and what each AI agent that produces them is hired to do. It is written for the dev team and for the people who will review the briefs. The briefs follow the pattern of the </w:t>
      </w:r>
      <w:r>
        <w:rPr>
          <w:i/>
        </w:rPr>
        <w:t xml:space="preserve">Future State of Ag Report: 2025–2027 Update</w:t>
      </w:r>
      <w:r>
        <w:t xml:space="preserve">, in compressed form: key takeaways, evidence, what changed, the effect on the driver, what to watch, and sources.</w:t>
      </w:r>
    </w:p>
    <w:p>
      <w:pPr/>
      <w:r>
        <w:t xml:space="preserve">Two boundaries keep the briefs in their lane:</w:t>
      </w:r>
    </w:p>
    <w:p>
      <w:pPr>
        <w:pStyle w:val="ListParagraph"/>
        <w:numPr>
          <w:ilvl w:val="0"/>
          <w:numId w:val="2"/>
        </w:numPr>
      </w:pPr>
      <w:r>
        <w:rPr>
          <w:b/>
        </w:rPr>
        <w:t xml:space="preserve">Drivers are the slow layer.</w:t>
      </w:r>
      <w:r>
        <w:t xml:space="preserve"> A brief holds the structural story and changes on a schedule or when a confirmed event changes the direction.</w:t>
      </w:r>
    </w:p>
    <w:p>
      <w:pPr>
        <w:pStyle w:val="ListParagraph"/>
        <w:numPr>
          <w:ilvl w:val="0"/>
          <w:numId w:val="2"/>
        </w:numPr>
      </w:pPr>
      <w:r>
        <w:rPr>
          <w:b/>
        </w:rPr>
        <w:t xml:space="preserve">Fast events are triggers.</w:t>
      </w:r>
      <w:r>
        <w:t xml:space="preserve"> Price moves, rule changes, and other dynamic items start farmer updates. Policy and regulation is a trigger family, so each brief carries only a short policy backdrop.</w:t>
      </w:r>
    </w:p>
    <w:p>
      <w:pPr>
        <w:pStyle w:val="Heading2"/>
      </w:pPr>
      <w:r>
        <w:t xml:space="preserve">What the briefs borrow from the Future State Report</w:t>
      </w:r>
    </w:p>
    <w:p>
      <w:pPr/>
      <w:r>
        <w:t xml:space="preserve">The report follows the same pattern in every driver chapter. The briefs keep the pattern and shrink it.</w:t>
      </w:r>
    </w:p>
    <w:tbl>
      <w:tblPr>
        <w:tblStyle w:val="TableGrid"/>
        <w:tblW w:w="0" w:type="auto"/>
        <w:tblLayout w:type="fixed"/>
        <w:tblLook w:val="04A0" w:firstRow="1" w:lastRow="0" w:firstColumn="0" w:lastColumn="0" w:noHBand="0" w:noVBand="1"/>
      </w:tblPr>
      <w:tblGrid>
        <w:gridCol w:w="1418"/>
        <w:gridCol w:w="4403"/>
        <w:gridCol w:w="3539"/>
      </w:tblGrid>
      <w:tr>
        <w:trPr>
          <w:tblHeader/>
        </w:trPr>
        <w:tc>
          <w:tcPr>
            <w:tcW w:w="1418" w:type="dxa"/>
            <w:shd w:val="clear" w:color="auto" w:fill="F2F2F2"/>
          </w:tcPr>
          <w:p>
            <w:pPr/>
            <w:r>
              <w:t xml:space="preserve">Element in the report</w:t>
            </w:r>
          </w:p>
        </w:tc>
        <w:tc>
          <w:tcPr>
            <w:tcW w:w="4403" w:type="dxa"/>
            <w:shd w:val="clear" w:color="auto" w:fill="F2F2F2"/>
          </w:tcPr>
          <w:p>
            <w:pPr/>
            <w:r>
              <w:t xml:space="preserve">What it does</w:t>
            </w:r>
          </w:p>
        </w:tc>
        <w:tc>
          <w:tcPr>
            <w:tcW w:w="3539" w:type="dxa"/>
            <w:shd w:val="clear" w:color="auto" w:fill="F2F2F2"/>
          </w:tcPr>
          <w:p>
            <w:pPr/>
            <w:r>
              <w:t xml:space="preserve">What the brief keeps</w:t>
            </w:r>
          </w:p>
        </w:tc>
      </w:tr>
      <w:tr>
        <w:tc>
          <w:tcPr>
            <w:tcW w:w="1418" w:type="dxa"/>
          </w:tcPr>
          <w:p>
            <w:pPr/>
            <w:r>
              <w:t xml:space="preserve">Key takeaways</w:t>
            </w:r>
          </w:p>
        </w:tc>
        <w:tc>
          <w:tcPr>
            <w:tcW w:w="4403" w:type="dxa"/>
          </w:tcPr>
          <w:p>
            <w:pPr/>
            <w:r>
              <w:t xml:space="preserve">Three to five bold claims per driver (for example, "Nations must build and secure stable food supply systems")</w:t>
            </w:r>
          </w:p>
        </w:tc>
        <w:tc>
          <w:tcPr>
            <w:tcW w:w="3539" w:type="dxa"/>
          </w:tcPr>
          <w:p>
            <w:pPr/>
            <w:r>
              <w:t xml:space="preserve">The takeaways are the brief's opening and the thing every new fact is tested against</w:t>
            </w:r>
          </w:p>
        </w:tc>
      </w:tr>
      <w:tr>
        <w:tc>
          <w:tcPr>
            <w:tcW w:w="1418" w:type="dxa"/>
          </w:tcPr>
          <w:p>
            <w:pPr/>
            <w:r>
              <w:t xml:space="preserve">Evidence sections</w:t>
            </w:r>
          </w:p>
        </w:tc>
        <w:tc>
          <w:tcPr>
            <w:tcW w:w="4403" w:type="dxa"/>
          </w:tcPr>
          <w:p>
            <w:pPr/>
            <w:r>
              <w:t xml:space="preserve">Named sub-topics under each driver, such as China food sovereignty or water risk</w:t>
            </w:r>
          </w:p>
        </w:tc>
        <w:tc>
          <w:tcPr>
            <w:tcW w:w="3539" w:type="dxa"/>
          </w:tcPr>
          <w:p>
            <w:pPr/>
            <w:r>
              <w:t xml:space="preserve">A short set of factor sections, one line of evidence each</w:t>
            </w:r>
          </w:p>
        </w:tc>
      </w:tr>
      <w:tr>
        <w:tc>
          <w:tcPr>
            <w:tcW w:w="1418" w:type="dxa"/>
          </w:tcPr>
          <w:p>
            <w:pPr/>
            <w:r>
              <w:t xml:space="preserve">Update section</w:t>
            </w:r>
          </w:p>
        </w:tc>
        <w:tc>
          <w:tcPr>
            <w:tcW w:w="4403" w:type="dxa"/>
          </w:tcPr>
          <w:p>
            <w:pPr/>
            <w:r>
              <w:t xml:space="preserve">"What changed since January 2025 and what to expect by January 2027," with dated facts</w:t>
            </w:r>
          </w:p>
        </w:tc>
        <w:tc>
          <w:tcPr>
            <w:tcW w:w="3539" w:type="dxa"/>
          </w:tcPr>
          <w:p>
            <w:pPr/>
            <w:r>
              <w:t xml:space="preserve">A dated "What changed" list for the period since the last edition</w:t>
            </w:r>
          </w:p>
        </w:tc>
      </w:tr>
      <w:tr>
        <w:tc>
          <w:tcPr>
            <w:tcW w:w="1418" w:type="dxa"/>
          </w:tcPr>
          <w:p>
            <w:pPr/>
            <w:r>
              <w:t xml:space="preserve">Possible Effect on the Driver</w:t>
            </w:r>
          </w:p>
        </w:tc>
        <w:tc>
          <w:tcPr>
            <w:tcW w:w="4403" w:type="dxa"/>
          </w:tcPr>
          <w:p>
            <w:pPr/>
            <w:r>
              <w:t xml:space="preserve">Net direction, effect on the key takeaways, effect on the timeline, and what to watch</w:t>
            </w:r>
          </w:p>
        </w:tc>
        <w:tc>
          <w:tcPr>
            <w:tcW w:w="3539" w:type="dxa"/>
          </w:tcPr>
          <w:p>
            <w:pPr/>
            <w:r>
              <w:t xml:space="preserve">The same four parts, kept in full; this is the core of the brief</w:t>
            </w:r>
          </w:p>
        </w:tc>
      </w:tr>
      <w:tr>
        <w:tc>
          <w:tcPr>
            <w:tcW w:w="1418" w:type="dxa"/>
          </w:tcPr>
          <w:p>
            <w:pPr/>
            <w:r>
              <w:t xml:space="preserve">Direction labels</w:t>
            </w:r>
          </w:p>
        </w:tc>
        <w:tc>
          <w:tcPr>
            <w:tcW w:w="4403" w:type="dxa"/>
          </w:tcPr>
          <w:p>
            <w:pPr/>
            <w:r>
              <w:t xml:space="preserve">Accelerating, intact, diverging, or mixed, each with a reason</w:t>
            </w:r>
          </w:p>
        </w:tc>
        <w:tc>
          <w:tcPr>
            <w:tcW w:w="3539" w:type="dxa"/>
          </w:tcPr>
          <w:p>
            <w:pPr/>
            <w:r>
              <w:t xml:space="preserve">A single net-direction label at the top, with the reason</w:t>
            </w:r>
          </w:p>
        </w:tc>
      </w:tr>
      <w:tr>
        <w:tc>
          <w:tcPr>
            <w:tcW w:w="1418" w:type="dxa"/>
          </w:tcPr>
          <w:p>
            <w:pPr/>
            <w:r>
              <w:t xml:space="preserve">Sources for this update</w:t>
            </w:r>
          </w:p>
        </w:tc>
        <w:tc>
          <w:tcPr>
            <w:tcW w:w="4403" w:type="dxa"/>
          </w:tcPr>
          <w:p>
            <w:pPr/>
            <w:r>
              <w:t xml:space="preserve">A dated, italic source list; where an annual series has not been updated, the latest edition is used and labeled</w:t>
            </w:r>
          </w:p>
        </w:tc>
        <w:tc>
          <w:tcPr>
            <w:tcW w:w="3539" w:type="dxa"/>
          </w:tcPr>
          <w:p>
            <w:pPr/>
            <w:r>
              <w:t xml:space="preserve">A dated source list with the same labeling rule</w:t>
            </w:r>
          </w:p>
        </w:tc>
      </w:tr>
      <w:tr>
        <w:tc>
          <w:tcPr>
            <w:tcW w:w="1418" w:type="dxa"/>
          </w:tcPr>
          <w:p>
            <w:pPr/>
            <w:r>
              <w:t xml:space="preserve">Impact on U.S. agriculture</w:t>
            </w:r>
          </w:p>
        </w:tc>
        <w:tc>
          <w:tcPr>
            <w:tcW w:w="4403" w:type="dxa"/>
          </w:tcPr>
          <w:p>
            <w:pPr/>
            <w:r>
              <w:t xml:space="preserve">What the driver means for producers</w:t>
            </w:r>
          </w:p>
        </w:tc>
        <w:tc>
          <w:tcPr>
            <w:tcW w:w="3539" w:type="dxa"/>
          </w:tcPr>
          <w:p>
            <w:pPr/>
            <w:r>
              <w:t xml:space="preserve">"What it means for farms," by farm type and size</w:t>
            </w:r>
          </w:p>
        </w:tc>
      </w:tr>
      <w:tr>
        <w:tc>
          <w:tcPr>
            <w:tcW w:w="1418" w:type="dxa"/>
          </w:tcPr>
          <w:p>
            <w:pPr/>
            <w:r>
              <w:t xml:space="preserve">Timeline of impacts</w:t>
            </w:r>
          </w:p>
        </w:tc>
        <w:tc>
          <w:tcPr>
            <w:tcW w:w="4403" w:type="dxa"/>
          </w:tcPr>
          <w:p>
            <w:pPr/>
            <w:r>
              <w:t xml:space="preserve">Items for 2025 to 2035 and for 2035 and beyond</w:t>
            </w:r>
          </w:p>
        </w:tc>
        <w:tc>
          <w:tcPr>
            <w:tcW w:w="3539" w:type="dxa"/>
          </w:tcPr>
          <w:p>
            <w:pPr/>
            <w:r>
              <w:t xml:space="preserve">A short timeline view, showing items arriving early or late</w:t>
            </w:r>
          </w:p>
        </w:tc>
      </w:tr>
      <w:tr>
        <w:tc>
          <w:tcPr>
            <w:tcW w:w="1418" w:type="dxa"/>
          </w:tcPr>
          <w:p>
            <w:pPr/>
            <w:r>
              <w:t xml:space="preserve">Cross-driver lenses</w:t>
            </w:r>
          </w:p>
        </w:tc>
        <w:tc>
          <w:tcPr>
            <w:tcW w:w="4403" w:type="dxa"/>
          </w:tcPr>
          <w:p>
            <w:pPr/>
            <w:r>
              <w:t xml:space="preserve">Adaptive capacity (AC-5) and investment-grade demand (ID-5), both working drafts</w:t>
            </w:r>
          </w:p>
        </w:tc>
        <w:tc>
          <w:tcPr>
            <w:tcW w:w="3539" w:type="dxa"/>
          </w:tcPr>
          <w:p>
            <w:pPr/>
            <w:r>
              <w:t xml:space="preserve">Applied to find each driver's binding constraint and who captures value</w:t>
            </w:r>
          </w:p>
        </w:tc>
      </w:tr>
    </w:tbl>
    <w:p>
      <w:pPr/>
      <w:r>
        <w:rPr>
          <w:b/>
        </w:rPr>
        <w:t xml:space="preserve">Voice and habits to copy.</w:t>
      </w:r>
      <w:r>
        <w:t xml:space="preserve"> Plain, evidence-led sentences. Facts carry a source and a date. Idealyst's assessments are labeled as assessments. Statements overtaken by events are corrected openly (the report corrected six). Where reviewers disagreed, the disagreement is kept.</w:t>
      </w:r>
    </w:p>
    <w:p>
      <w:pPr>
        <w:pStyle w:val="Heading2"/>
      </w:pPr>
      <w:r>
        <w:t xml:space="preserve">The thinking behind a brief</w:t>
      </w:r>
    </w:p>
    <w:p>
      <w:pPr/>
      <w:r>
        <w:t xml:space="preserve">Ten principles decide what goes into a brief and how it is judged. They are written as rules the agents can follow.</w:t>
      </w:r>
    </w:p>
    <w:p>
      <w:pPr>
        <w:pStyle w:val="ListParagraph"/>
        <w:numPr>
          <w:ilvl w:val="0"/>
          <w:numId w:val="3"/>
        </w:numPr>
      </w:pPr>
      <w:r>
        <w:rPr>
          <w:b/>
        </w:rPr>
        <w:t xml:space="preserve">Takeaways are testable claims.</w:t>
      </w:r>
      <w:r>
        <w:t xml:space="preserve"> Each key takeaway is something the evidence can strengthen, weaken, or overturn. The brief says which, and why.</w:t>
      </w:r>
    </w:p>
    <w:p>
      <w:pPr>
        <w:pStyle w:val="ListParagraph"/>
        <w:numPr>
          <w:ilvl w:val="0"/>
          <w:numId w:val="3"/>
        </w:numPr>
      </w:pPr>
      <w:r>
        <w:rPr>
          <w:b/>
        </w:rPr>
        <w:t xml:space="preserve">Direction before detail.</w:t>
      </w:r>
      <w:r>
        <w:t xml:space="preserve"> The brief opens with a net direction (accelerating, intact, diverging, or mixed) and the reason, then supports it.</w:t>
      </w:r>
    </w:p>
    <w:p>
      <w:pPr>
        <w:pStyle w:val="ListParagraph"/>
        <w:numPr>
          <w:ilvl w:val="0"/>
          <w:numId w:val="3"/>
        </w:numPr>
      </w:pPr>
      <w:r>
        <w:rPr>
          <w:b/>
        </w:rPr>
        <w:t xml:space="preserve">Climb the evidence ladder.</w:t>
      </w:r>
      <w:r>
        <w:t xml:space="preserve"> Prefer official and primary sources, then recognized industry sources, then analyst views. Every number carries a source and a date. Where an annual series has not been updated, use the latest edition and label it.</w:t>
      </w:r>
    </w:p>
    <w:p>
      <w:pPr>
        <w:pStyle w:val="ListParagraph"/>
        <w:numPr>
          <w:ilvl w:val="0"/>
          <w:numId w:val="3"/>
        </w:numPr>
      </w:pPr>
      <w:r>
        <w:rPr>
          <w:b/>
        </w:rPr>
        <w:t xml:space="preserve">Fact and assessment stay apart.</w:t>
      </w:r>
      <w:r>
        <w:t xml:space="preserve"> What the sources say is stated as fact. What Idealyst concludes is labeled as Idealyst's analysis.</w:t>
      </w:r>
    </w:p>
    <w:p>
      <w:pPr>
        <w:pStyle w:val="ListParagraph"/>
        <w:numPr>
          <w:ilvl w:val="0"/>
          <w:numId w:val="3"/>
        </w:numPr>
      </w:pPr>
      <w:r>
        <w:rPr>
          <w:b/>
        </w:rPr>
        <w:t xml:space="preserve">Slow structure, fast events.</w:t>
      </w:r>
      <w:r>
        <w:t xml:space="preserve"> The brief holds the structure. A single event does not rewrite it. A brief changes when events alter the direction or break a takeaway, and policy items sit in a short backdrop, not the body.</w:t>
      </w:r>
    </w:p>
    <w:p>
      <w:pPr>
        <w:pStyle w:val="ListParagraph"/>
        <w:numPr>
          <w:ilvl w:val="0"/>
          <w:numId w:val="3"/>
        </w:numPr>
      </w:pPr>
      <w:r>
        <w:rPr>
          <w:b/>
        </w:rPr>
        <w:t xml:space="preserve">Two horizons.</w:t>
      </w:r>
      <w:r>
        <w:t xml:space="preserve"> Each takeaway is read for the near term (through the next January) and for the long term (2035 and beyond), because an event can be a squeeze now and a shift later.</w:t>
      </w:r>
    </w:p>
    <w:p>
      <w:pPr>
        <w:pStyle w:val="ListParagraph"/>
        <w:numPr>
          <w:ilvl w:val="0"/>
          <w:numId w:val="3"/>
        </w:numPr>
      </w:pPr>
      <w:r>
        <w:rPr>
          <w:b/>
        </w:rPr>
        <w:t xml:space="preserve">Apply the cross-driver lenses.</w:t>
      </w:r>
      <w:r>
        <w:t xml:space="preserve"> Use adaptive capacity (AC-5) to name the binding constraint, and investment-grade demand (ID-5) to ask whether demand is strong enough to fund new investment. Both are working drafts; the brief says so.</w:t>
      </w:r>
    </w:p>
    <w:p>
      <w:pPr>
        <w:pStyle w:val="ListParagraph"/>
        <w:numPr>
          <w:ilvl w:val="0"/>
          <w:numId w:val="3"/>
        </w:numPr>
      </w:pPr>
      <w:r>
        <w:rPr>
          <w:b/>
        </w:rPr>
        <w:t xml:space="preserve">Translate to the farm.</w:t>
      </w:r>
      <w:r>
        <w:t xml:space="preserve"> Every brief answers what the driver means for net operating income, revenue diversification in and outside production, efficiency, and legacy, by farm type and size.</w:t>
      </w:r>
    </w:p>
    <w:p>
      <w:pPr>
        <w:pStyle w:val="ListParagraph"/>
        <w:numPr>
          <w:ilvl w:val="0"/>
          <w:numId w:val="3"/>
        </w:numPr>
      </w:pPr>
      <w:r>
        <w:rPr>
          <w:b/>
        </w:rPr>
        <w:t xml:space="preserve">Keep disagreement and uncertainty.</w:t>
      </w:r>
      <w:r>
        <w:t xml:space="preserve"> When sources conflict or reviewers differ, record it. Give confidence labels, not false precision.</w:t>
      </w:r>
    </w:p>
    <w:p>
      <w:pPr>
        <w:pStyle w:val="ListParagraph"/>
        <w:numPr>
          <w:ilvl w:val="0"/>
          <w:numId w:val="3"/>
        </w:numPr>
      </w:pPr>
      <w:r>
        <w:rPr>
          <w:b/>
        </w:rPr>
        <w:t xml:space="preserve">Correct the record.</w:t>
      </w:r>
      <w:r>
        <w:t xml:space="preserve"> When something earlier in the brief was overtaken by events, say so plainly and show what changed.</w:t>
      </w:r>
    </w:p>
    <w:p>
      <w:pPr>
        <w:pStyle w:val="Heading2"/>
      </w:pPr>
      <w:r>
        <w:t xml:space="preserve">The brief format</w:t>
      </w:r>
    </w:p>
    <w:p>
      <w:pPr/>
      <w:r>
        <w:t xml:space="preserve">Every brief has the same ten sections in the same order, so agents can fill them and farmer updates can find what they need. The target is about 800 words, with sources and the change log outside the count.</w:t>
      </w:r>
    </w:p>
    <w:tbl>
      <w:tblPr>
        <w:tblStyle w:val="TableGrid"/>
        <w:tblW w:w="0" w:type="auto"/>
        <w:tblLayout w:type="fixed"/>
        <w:tblLook w:val="04A0" w:firstRow="1" w:lastRow="0" w:firstColumn="0" w:lastColumn="0" w:noHBand="0" w:noVBand="1"/>
      </w:tblPr>
      <w:tblGrid>
        <w:gridCol w:w="720"/>
        <w:gridCol w:w="1736"/>
        <w:gridCol w:w="4920"/>
        <w:gridCol w:w="1984"/>
      </w:tblGrid>
      <w:tr>
        <w:trPr>
          <w:tblHeader/>
        </w:trPr>
        <w:tc>
          <w:tcPr>
            <w:tcW w:w="720" w:type="dxa"/>
            <w:shd w:val="clear" w:color="auto" w:fill="F2F2F2"/>
          </w:tcPr>
          <w:p>
            <w:pPr/>
            <w:r>
              <w:t xml:space="preserve">#</w:t>
            </w:r>
          </w:p>
        </w:tc>
        <w:tc>
          <w:tcPr>
            <w:tcW w:w="1736" w:type="dxa"/>
            <w:shd w:val="clear" w:color="auto" w:fill="F2F2F2"/>
          </w:tcPr>
          <w:p>
            <w:pPr/>
            <w:r>
              <w:t xml:space="preserve">Section</w:t>
            </w:r>
          </w:p>
        </w:tc>
        <w:tc>
          <w:tcPr>
            <w:tcW w:w="4920" w:type="dxa"/>
            <w:shd w:val="clear" w:color="auto" w:fill="F2F2F2"/>
          </w:tcPr>
          <w:p>
            <w:pPr/>
            <w:r>
              <w:t xml:space="preserve">Content</w:t>
            </w:r>
          </w:p>
        </w:tc>
        <w:tc>
          <w:tcPr>
            <w:tcW w:w="1984" w:type="dxa"/>
            <w:shd w:val="clear" w:color="auto" w:fill="F2F2F2"/>
          </w:tcPr>
          <w:p>
            <w:pPr/>
            <w:r>
              <w:t xml:space="preserve">Length</w:t>
            </w:r>
          </w:p>
        </w:tc>
      </w:tr>
      <w:tr>
        <w:tc>
          <w:tcPr>
            <w:tcW w:w="720" w:type="dxa"/>
          </w:tcPr>
          <w:p>
            <w:pPr/>
            <w:r>
              <w:t xml:space="preserve">1</w:t>
            </w:r>
          </w:p>
        </w:tc>
        <w:tc>
          <w:tcPr>
            <w:tcW w:w="1736" w:type="dxa"/>
          </w:tcPr>
          <w:p>
            <w:pPr/>
            <w:r>
              <w:t xml:space="preserve">Header</w:t>
            </w:r>
          </w:p>
        </w:tc>
        <w:tc>
          <w:tcPr>
            <w:tcW w:w="4920" w:type="dxa"/>
          </w:tcPr>
          <w:p>
            <w:pPr/>
            <w:r>
              <w:t xml:space="preserve">Driver, as-of date, period covered, net direction label</w:t>
            </w:r>
          </w:p>
        </w:tc>
        <w:tc>
          <w:tcPr>
            <w:tcW w:w="1984" w:type="dxa"/>
          </w:tcPr>
          <w:p>
            <w:pPr/>
            <w:r>
              <w:t xml:space="preserve">3 lines</w:t>
            </w:r>
          </w:p>
        </w:tc>
      </w:tr>
      <w:tr>
        <w:tc>
          <w:tcPr>
            <w:tcW w:w="720" w:type="dxa"/>
          </w:tcPr>
          <w:p>
            <w:pPr/>
            <w:r>
              <w:t xml:space="preserve">2</w:t>
            </w:r>
          </w:p>
        </w:tc>
        <w:tc>
          <w:tcPr>
            <w:tcW w:w="1736" w:type="dxa"/>
          </w:tcPr>
          <w:p>
            <w:pPr/>
            <w:r>
              <w:t xml:space="preserve">Key takeaways</w:t>
            </w:r>
          </w:p>
        </w:tc>
        <w:tc>
          <w:tcPr>
            <w:tcW w:w="4920" w:type="dxa"/>
          </w:tcPr>
          <w:p>
            <w:pPr/>
            <w:r>
              <w:t xml:space="preserve">Three to five claims, each a single sentence</w:t>
            </w:r>
          </w:p>
        </w:tc>
        <w:tc>
          <w:tcPr>
            <w:tcW w:w="1984" w:type="dxa"/>
          </w:tcPr>
          <w:p>
            <w:pPr/>
            <w:r>
              <w:t xml:space="preserve">3 to 5 bullets</w:t>
            </w:r>
          </w:p>
        </w:tc>
      </w:tr>
      <w:tr>
        <w:tc>
          <w:tcPr>
            <w:tcW w:w="720" w:type="dxa"/>
          </w:tcPr>
          <w:p>
            <w:pPr/>
            <w:r>
              <w:t xml:space="preserve">3</w:t>
            </w:r>
          </w:p>
        </w:tc>
        <w:tc>
          <w:tcPr>
            <w:tcW w:w="1736" w:type="dxa"/>
          </w:tcPr>
          <w:p>
            <w:pPr/>
            <w:r>
              <w:t xml:space="preserve">Lay of the land</w:t>
            </w:r>
          </w:p>
        </w:tc>
        <w:tc>
          <w:tcPr>
            <w:tcW w:w="4920" w:type="dxa"/>
          </w:tcPr>
          <w:p>
            <w:pPr/>
            <w:r>
              <w:t xml:space="preserve">The state of play, in plain terms, organized around the driver's central threads</w:t>
            </w:r>
          </w:p>
        </w:tc>
        <w:tc>
          <w:tcPr>
            <w:tcW w:w="1984" w:type="dxa"/>
          </w:tcPr>
          <w:p>
            <w:pPr/>
            <w:r>
              <w:t xml:space="preserve">3 to 5 sentences</w:t>
            </w:r>
          </w:p>
        </w:tc>
      </w:tr>
      <w:tr>
        <w:tc>
          <w:tcPr>
            <w:tcW w:w="720" w:type="dxa"/>
          </w:tcPr>
          <w:p>
            <w:pPr/>
            <w:r>
              <w:t xml:space="preserve">4</w:t>
            </w:r>
          </w:p>
        </w:tc>
        <w:tc>
          <w:tcPr>
            <w:tcW w:w="1736" w:type="dxa"/>
          </w:tcPr>
          <w:p>
            <w:pPr/>
            <w:r>
              <w:t xml:space="preserve">What changed</w:t>
            </w:r>
          </w:p>
        </w:tc>
        <w:tc>
          <w:tcPr>
            <w:tcW w:w="4920" w:type="dxa"/>
          </w:tcPr>
          <w:p>
            <w:pPr/>
            <w:r>
              <w:t xml:space="preserve">Dated facts since the last edition, each with source</w:t>
            </w:r>
          </w:p>
        </w:tc>
        <w:tc>
          <w:tcPr>
            <w:tcW w:w="1984" w:type="dxa"/>
          </w:tcPr>
          <w:p>
            <w:pPr/>
            <w:r>
              <w:t xml:space="preserve">5 to 8 items</w:t>
            </w:r>
          </w:p>
        </w:tc>
      </w:tr>
      <w:tr>
        <w:tc>
          <w:tcPr>
            <w:tcW w:w="720" w:type="dxa"/>
          </w:tcPr>
          <w:p>
            <w:pPr/>
            <w:r>
              <w:t xml:space="preserve">5</w:t>
            </w:r>
          </w:p>
        </w:tc>
        <w:tc>
          <w:tcPr>
            <w:tcW w:w="1736" w:type="dxa"/>
          </w:tcPr>
          <w:p>
            <w:pPr/>
            <w:r>
              <w:t xml:space="preserve">Possible effect on the driver</w:t>
            </w:r>
          </w:p>
        </w:tc>
        <w:tc>
          <w:tcPr>
            <w:tcW w:w="4920" w:type="dxa"/>
          </w:tcPr>
          <w:p>
            <w:pPr/>
            <w:r>
              <w:t xml:space="preserve">Net direction, effect on the takeaways, effect on the timeline, what to watch</w:t>
            </w:r>
          </w:p>
        </w:tc>
        <w:tc>
          <w:tcPr>
            <w:tcW w:w="1984" w:type="dxa"/>
          </w:tcPr>
          <w:p>
            <w:pPr/>
            <w:r>
              <w:t xml:space="preserve">About 200 words</w:t>
            </w:r>
          </w:p>
        </w:tc>
      </w:tr>
      <w:tr>
        <w:tc>
          <w:tcPr>
            <w:tcW w:w="720" w:type="dxa"/>
          </w:tcPr>
          <w:p>
            <w:pPr/>
            <w:r>
              <w:t xml:space="preserve">6</w:t>
            </w:r>
          </w:p>
        </w:tc>
        <w:tc>
          <w:tcPr>
            <w:tcW w:w="1736" w:type="dxa"/>
          </w:tcPr>
          <w:p>
            <w:pPr/>
            <w:r>
              <w:t xml:space="preserve">What it means for farms</w:t>
            </w:r>
          </w:p>
        </w:tc>
        <w:tc>
          <w:tcPr>
            <w:tcW w:w="4920" w:type="dxa"/>
          </w:tcPr>
          <w:p>
            <w:pPr/>
            <w:r>
              <w:t xml:space="preserve">Net operating income, diversification in and outside production, efficiency, and legacy, by farm type and size</w:t>
            </w:r>
          </w:p>
        </w:tc>
        <w:tc>
          <w:tcPr>
            <w:tcW w:w="1984" w:type="dxa"/>
          </w:tcPr>
          <w:p>
            <w:pPr/>
            <w:r>
              <w:t xml:space="preserve">About 150 words</w:t>
            </w:r>
          </w:p>
        </w:tc>
      </w:tr>
      <w:tr>
        <w:tc>
          <w:tcPr>
            <w:tcW w:w="720" w:type="dxa"/>
          </w:tcPr>
          <w:p>
            <w:pPr/>
            <w:r>
              <w:t xml:space="preserve">7</w:t>
            </w:r>
          </w:p>
        </w:tc>
        <w:tc>
          <w:tcPr>
            <w:tcW w:w="1736" w:type="dxa"/>
          </w:tcPr>
          <w:p>
            <w:pPr/>
            <w:r>
              <w:t xml:space="preserve">Paths opened or closed</w:t>
            </w:r>
          </w:p>
        </w:tc>
        <w:tc>
          <w:tcPr>
            <w:tcW w:w="4920" w:type="dxa"/>
          </w:tcPr>
          <w:p>
            <w:pPr/>
            <w:r>
              <w:t xml:space="preserve">Which of the 29 diversification paths gain or lose appeal</w:t>
            </w:r>
          </w:p>
        </w:tc>
        <w:tc>
          <w:tcPr>
            <w:tcW w:w="1984" w:type="dxa"/>
          </w:tcPr>
          <w:p>
            <w:pPr/>
            <w:r>
              <w:t xml:space="preserve">2 to 5 items</w:t>
            </w:r>
          </w:p>
        </w:tc>
      </w:tr>
      <w:tr>
        <w:tc>
          <w:tcPr>
            <w:tcW w:w="720" w:type="dxa"/>
          </w:tcPr>
          <w:p>
            <w:pPr/>
            <w:r>
              <w:t xml:space="preserve">8</w:t>
            </w:r>
          </w:p>
        </w:tc>
        <w:tc>
          <w:tcPr>
            <w:tcW w:w="1736" w:type="dxa"/>
          </w:tcPr>
          <w:p>
            <w:pPr/>
            <w:r>
              <w:t xml:space="preserve">Policy backdrop</w:t>
            </w:r>
          </w:p>
        </w:tc>
        <w:tc>
          <w:tcPr>
            <w:tcW w:w="4920" w:type="dxa"/>
          </w:tcPr>
          <w:p>
            <w:pPr/>
            <w:r>
              <w:t xml:space="preserve">The slower policy context and any pending items to track</w:t>
            </w:r>
          </w:p>
        </w:tc>
        <w:tc>
          <w:tcPr>
            <w:tcW w:w="1984" w:type="dxa"/>
          </w:tcPr>
          <w:p>
            <w:pPr/>
            <w:r>
              <w:t xml:space="preserve">3 to 5 lines</w:t>
            </w:r>
          </w:p>
        </w:tc>
      </w:tr>
      <w:tr>
        <w:tc>
          <w:tcPr>
            <w:tcW w:w="720" w:type="dxa"/>
          </w:tcPr>
          <w:p>
            <w:pPr/>
            <w:r>
              <w:t xml:space="preserve">9</w:t>
            </w:r>
          </w:p>
        </w:tc>
        <w:tc>
          <w:tcPr>
            <w:tcW w:w="1736" w:type="dxa"/>
          </w:tcPr>
          <w:p>
            <w:pPr/>
            <w:r>
              <w:t xml:space="preserve">Indicators and triggers</w:t>
            </w:r>
          </w:p>
        </w:tc>
        <w:tc>
          <w:tcPr>
            <w:tcW w:w="4920" w:type="dxa"/>
          </w:tcPr>
          <w:p>
            <w:pPr/>
            <w:r>
              <w:t xml:space="preserve">What to watch, the registry source, the kind (leading, confirming, lagging), and the threshold</w:t>
            </w:r>
          </w:p>
        </w:tc>
        <w:tc>
          <w:tcPr>
            <w:tcW w:w="1984" w:type="dxa"/>
          </w:tcPr>
          <w:p>
            <w:pPr/>
            <w:r>
              <w:t xml:space="preserve">4 to 8 rows</w:t>
            </w:r>
          </w:p>
        </w:tc>
      </w:tr>
      <w:tr>
        <w:tc>
          <w:tcPr>
            <w:tcW w:w="720" w:type="dxa"/>
          </w:tcPr>
          <w:p>
            <w:pPr/>
            <w:r>
              <w:t xml:space="preserve">10</w:t>
            </w:r>
          </w:p>
        </w:tc>
        <w:tc>
          <w:tcPr>
            <w:tcW w:w="1736" w:type="dxa"/>
          </w:tcPr>
          <w:p>
            <w:pPr/>
            <w:r>
              <w:t xml:space="preserve">Sources and confidence</w:t>
            </w:r>
          </w:p>
        </w:tc>
        <w:tc>
          <w:tcPr>
            <w:tcW w:w="4920" w:type="dxa"/>
          </w:tcPr>
          <w:p>
            <w:pPr/>
            <w:r>
              <w:t xml:space="preserve">Dated sources, tier, independence, confidence label</w:t>
            </w:r>
          </w:p>
        </w:tc>
        <w:tc>
          <w:tcPr>
            <w:tcW w:w="1984" w:type="dxa"/>
          </w:tcPr>
          <w:p>
            <w:pPr/>
            <w:r>
              <w:t xml:space="preserve">List</w:t>
            </w:r>
          </w:p>
        </w:tc>
      </w:tr>
    </w:tbl>
    <w:p>
      <w:pPr/>
      <w:r>
        <w:rPr>
          <w:b/>
        </w:rPr>
        <w:t xml:space="preserve">Style rules</w:t>
      </w:r>
    </w:p>
    <w:p>
      <w:pPr>
        <w:pStyle w:val="ListParagraph"/>
        <w:numPr>
          <w:ilvl w:val="0"/>
          <w:numId w:val="4"/>
        </w:numPr>
      </w:pPr>
      <w:r>
        <w:t xml:space="preserve">Plain sentences. Define a term once.</w:t>
      </w:r>
    </w:p>
    <w:p>
      <w:pPr>
        <w:pStyle w:val="ListParagraph"/>
        <w:numPr>
          <w:ilvl w:val="0"/>
          <w:numId w:val="4"/>
        </w:numPr>
      </w:pPr>
      <w:r>
        <w:t xml:space="preserve">Numbers carry a source and a date. No unsourced figures.</w:t>
      </w:r>
    </w:p>
    <w:p>
      <w:pPr>
        <w:pStyle w:val="ListParagraph"/>
        <w:numPr>
          <w:ilvl w:val="0"/>
          <w:numId w:val="4"/>
        </w:numPr>
      </w:pPr>
      <w:r>
        <w:t xml:space="preserve">Label analysis as "Idealyst's analysis."</w:t>
      </w:r>
    </w:p>
    <w:p>
      <w:pPr>
        <w:pStyle w:val="ListParagraph"/>
        <w:numPr>
          <w:ilvl w:val="0"/>
          <w:numId w:val="4"/>
        </w:numPr>
      </w:pPr>
      <w:r>
        <w:t xml:space="preserve">Use the same four direction labels across briefs; add a new label only after review.</w:t>
      </w:r>
    </w:p>
    <w:p>
      <w:pPr>
        <w:pStyle w:val="ListParagraph"/>
        <w:numPr>
          <w:ilvl w:val="0"/>
          <w:numId w:val="4"/>
        </w:numPr>
      </w:pPr>
      <w:r>
        <w:t xml:space="preserve">Paraphrase sources. Keep any quote short.</w:t>
      </w:r>
    </w:p>
    <w:p>
      <w:pPr>
        <w:pStyle w:val="ListParagraph"/>
        <w:numPr>
          <w:ilvl w:val="0"/>
          <w:numId w:val="4"/>
        </w:numPr>
      </w:pPr>
      <w:r>
        <w:t xml:space="preserve">No advice. A brief explains; farm-specific suggestions belong in updates.</w:t>
      </w:r>
    </w:p>
    <w:p>
      <w:pPr/>
      <w:r>
        <w:rPr>
          <w:b/>
        </w:rPr>
        <w:t xml:space="preserve">Skeleton (placeholders only)</w:t>
      </w:r>
    </w:p>
    <w:p>
      <w:pPr>
        <w:pStyle w:val="Code"/>
      </w:pPr>
      <w:bookmarkStart w:id="1" w:name="bongo_lang_markdown_1"/>
      <w:bookmarkEnd w:id="1"/>
      <w:r>
        <w:t xml:space="preserve">[DRIVER] brief  |  As of [date]  |  Covers [period]  |  Net direction: [label]</w:t>
        <w:br/>
        <w:br/>
        <w:t xml:space="preserve">Key takeaways</w:t>
        <w:br/>
        <w:t xml:space="preserve">- [Claim 1]</w:t>
        <w:br/>
        <w:t xml:space="preserve">- [Claim 2]</w:t>
        <w:br/>
        <w:t xml:space="preserve">- [Claim 3]</w:t>
        <w:br/>
        <w:br/>
        <w:t xml:space="preserve">Lay of the land</w:t>
        <w:br/>
        <w:t xml:space="preserve">[3 to 5 sentences]</w:t>
        <w:br/>
        <w:br/>
        <w:t xml:space="preserve">What changed</w:t>
        <w:br/>
        <w:t xml:space="preserve">- [Dated fact] ([source], [date])</w:t>
        <w:br/>
        <w:br/>
        <w:t xml:space="preserve">Possible effect on the driver</w:t>
        <w:br/>
        <w:t xml:space="preserve">Net direction: [label] because [reason].</w:t>
        <w:br/>
        <w:t xml:space="preserve">Effect on the key takeaways: [strengthened / weakened / overturned, and why]</w:t>
        <w:br/>
        <w:t xml:space="preserve">Effect on the timeline: [items arriving early or late]</w:t>
        <w:br/>
        <w:t xml:space="preserve">What to watch through [date]: [indicators]</w:t>
        <w:br/>
        <w:br/>
        <w:t xml:space="preserve">What it means for farms</w:t>
        <w:br/>
        <w:t xml:space="preserve">NOI: [..]  Diversification in production: [..]  Outside production: [..]</w:t>
        <w:br/>
        <w:t xml:space="preserve">Efficiency: [..]  Legacy: [..]</w:t>
        <w:br/>
        <w:br/>
        <w:t xml:space="preserve">Paths opened or closed: [path, direction, reason]</w:t>
        <w:br/>
        <w:t xml:space="preserve">Policy backdrop: [short]</w:t>
        <w:br/>
        <w:t xml:space="preserve">Indicators and triggers: [indicator, source ID, kind, threshold]</w:t>
        <w:br/>
        <w:t xml:space="preserve">Sources and confidence: [list, tier, independence, confidence]</w:t>
      </w:r>
    </w:p>
    <w:p>
      <w:pPr>
        <w:pStyle w:val="Heading2"/>
      </w:pPr>
      <w:r>
        <w:t xml:space="preserve">Factors considered, driver by driver</w:t>
      </w:r>
    </w:p>
    <w:p>
      <w:pPr/>
      <w:r>
        <w:t xml:space="preserve">Each brief starts from the key takeaways in the Future State Report and tests them against new evidence. The factor lists follow the report's own chapter headings, so a brief covers what the report covers. Source IDs refer to the source registry.</w:t>
      </w:r>
    </w:p>
    <w:p>
      <w:pPr>
        <w:pStyle w:val="Heading3"/>
      </w:pPr>
      <w:r>
        <w:t xml:space="preserve">Global Affluence</w:t>
      </w:r>
    </w:p>
    <w:p>
      <w:pPr/>
      <w:r>
        <w:rPr>
          <w:b/>
        </w:rPr>
        <w:t xml:space="preserve">Starts from:</w:t>
      </w:r>
      <w:r>
        <w:t xml:space="preserve"> Affluence and population are shifting demand and the global economic center of gravity; U.S. agriculture depends on export markets in decline and is out of position for growth markets; it can supply cost-competitive protein if trade relationships are built; it is misaligned with domestic demand growth.</w:t>
      </w:r>
    </w:p>
    <w:p>
      <w:pPr/>
      <w:r>
        <w:rPr>
          <w:b/>
        </w:rPr>
        <w:t xml:space="preserve">Central threads:</w:t>
      </w:r>
      <w:r>
        <w:t xml:space="preserve"> (1) the U.S. trade position, where the recent narrowing of the deficit came mostly from falling imports; (2) two consumer worlds, premium in mature markets and volume in emerging Asia and Africa; (3) domestic demand growth being met by imports, especially specialty and high-value foods; (4) energy price shocks as the main risk to the pace of consumer class growth.</w:t>
      </w:r>
    </w:p>
    <w:p>
      <w:pPr/>
      <w:r>
        <w:rPr>
          <w:b/>
        </w:rPr>
        <w:t xml:space="preserve">Factors:</w:t>
      </w:r>
      <w:r>
        <w:t xml:space="preserve"> size and pace of consumer class growth (and any change in how it is defined); shift of trade toward Asia-Pacific; changing preferences, including premium and organic; population growth, aging, and falling fertility; U.S. demographics and migration; the U.S. trade balance; rising competitor producers; "two consumer worlds," premium in mature markets and volume in emerging ones.</w:t>
      </w:r>
    </w:p>
    <w:p>
      <w:pPr/>
      <w:r>
        <w:rPr>
          <w:b/>
        </w:rPr>
        <w:t xml:space="preserve">Questions:</w:t>
      </w:r>
      <w:r>
        <w:t xml:space="preserve"> Is the consumer class growing faster or slower than expected? Where does demand go, and for which products? Who supplies it? Which segment pays a premium that reaches the grower?</w:t>
      </w:r>
    </w:p>
    <w:p>
      <w:pPr/>
      <w:r>
        <w:rPr>
          <w:b/>
        </w:rPr>
        <w:t xml:space="preserve">Evidence:</w:t>
      </w:r>
      <w:r>
        <w:t xml:space="preserve"> IMF and World Bank outlooks (S052, S053), ERS macro data (S013), UN population projections (S142), China customs data (S143), USDA trade data (S025, S028), FAS world markets reports (S145), consumer class forecasts (S186), retail data (S063).</w:t>
      </w:r>
    </w:p>
    <w:p>
      <w:pPr>
        <w:pStyle w:val="Heading3"/>
      </w:pPr>
      <w:r>
        <w:t xml:space="preserve">Geopolitics</w:t>
      </w:r>
    </w:p>
    <w:p>
      <w:pPr/>
      <w:r>
        <w:rPr>
          <w:b/>
        </w:rPr>
        <w:t xml:space="preserve">Starts from:</w:t>
      </w:r>
      <w:r>
        <w:t xml:space="preserve"> Nations must build and secure stable food supply systems; trade is shifting from market efficiency toward geopolitical realignment; North American cooperation is the clearest opportunity for stable growth.</w:t>
      </w:r>
    </w:p>
    <w:p>
      <w:pPr/>
      <w:r>
        <w:rPr>
          <w:b/>
        </w:rPr>
        <w:t xml:space="preserve">Central threads:</w:t>
      </w:r>
      <w:r>
        <w:t xml:space="preserve"> (1) input security, meaning fertilizer and fuel exposure to chokepoints; (2) labor security, meaning immigration enforcement and the H-2A wage rule; (3) the terms of China's purchases and Brazil's rising share; (4) North American trade, now under annual review; (5) biofuel policy as a domestic demand support; (6) animal health and border rules in protein.</w:t>
      </w:r>
    </w:p>
    <w:p>
      <w:pPr/>
      <w:r>
        <w:rPr>
          <w:b/>
        </w:rPr>
        <w:t xml:space="preserve">Factors:</w:t>
      </w:r>
      <w:r>
        <w:t xml:space="preserve"> China's food sovereignty and sourcing diversification; BRICS and payment alternatives; regional resilience and nearshoring; tariffs and their legal basis; trade agreement reviews; chokepoints and input security (fertilizer, fuel); farm labor and immigration policy; government payments and farm income; animal health and border rules; biofuel policy support.</w:t>
      </w:r>
    </w:p>
    <w:p>
      <w:pPr/>
      <w:r>
        <w:rPr>
          <w:b/>
        </w:rPr>
        <w:t xml:space="preserve">Questions:</w:t>
      </w:r>
      <w:r>
        <w:t xml:space="preserve"> Who buys, and on what terms: market or negotiated? Which inputs are exposed to a single route? Which legal changes alter access? Is North American trade still the stable opportunity?</w:t>
      </w:r>
    </w:p>
    <w:p>
      <w:pPr/>
      <w:r>
        <w:rPr>
          <w:b/>
        </w:rPr>
        <w:t xml:space="preserve">Evidence:</w:t>
      </w:r>
      <w:r>
        <w:t xml:space="preserve"> USTR, WTO, Global Trade Alert (S054, S055, S056), FAS reports (S026, S027), USITC (S097), DTN fertilizer (S041), freight (S154), EPA fuel rules (S037), labor rules (S089), farm income (S012), Brazil export pace (S187).</w:t>
      </w:r>
    </w:p>
    <w:p>
      <w:pPr>
        <w:pStyle w:val="Heading3"/>
      </w:pPr>
      <w:r>
        <w:t xml:space="preserve">Human Health</w:t>
      </w:r>
    </w:p>
    <w:p>
      <w:pPr/>
      <w:r>
        <w:rPr>
          <w:b/>
        </w:rPr>
        <w:t xml:space="preserve">Starts from:</w:t>
      </w:r>
      <w:r>
        <w:t xml:space="preserve"> Well-intentioned innovation with unintended consequences has produced a health crisis; a gap is growing between domestic production and demand for nutrient-dense food; agriculture can be the manufacturer of health solutions.</w:t>
      </w:r>
    </w:p>
    <w:p>
      <w:pPr/>
      <w:r>
        <w:rPr>
          <w:b/>
        </w:rPr>
        <w:t xml:space="preserve">Central threads:</w:t>
      </w:r>
      <w:r>
        <w:t xml:space="preserve"> (1) GLP-1 adoption and its effect on food demand, detailed below; (2) federal nutrition policy, including the Dietary Guidelines, SNAP purchase restrictions, and any federal definition of ultra-processed food; (3) premium and whole-food demand, including organic dairy, beef, and produce; (4) longer term, personalization through wearables and AI.</w:t>
      </w:r>
    </w:p>
    <w:p>
      <w:pPr/>
      <w:r>
        <w:rPr>
          <w:b/>
        </w:rPr>
        <w:t xml:space="preserve">Factors:</w:t>
      </w:r>
      <w:r>
        <w:t xml:space="preserve"> health system pressure and chronic disease; the global and domestic consumer; direct-to-consumer models; wearables and health tracking; data-driven behavior change; GLP-1 and other weight-management drugs (the central change, see below); dietary guidance and nutrition program rules; definitions of processed foods; organic and premium demand.</w:t>
      </w:r>
    </w:p>
    <w:p>
      <w:pPr/>
      <w:r>
        <w:rPr>
          <w:b/>
        </w:rPr>
        <w:t xml:space="preserve">GLP-1 growth is the factor most likely to change this driver.</w:t>
      </w:r>
      <w:r>
        <w:t xml:space="preserve"> Every Human Health brief carries it as its own thread, not as one item in a list. The brief tracks:</w:t>
      </w:r>
    </w:p>
    <w:p>
      <w:pPr>
        <w:pStyle w:val="ListParagraph"/>
        <w:numPr>
          <w:ilvl w:val="0"/>
          <w:numId w:val="5"/>
        </w:numPr>
      </w:pPr>
      <w:r>
        <w:rPr>
          <w:b/>
        </w:rPr>
        <w:t xml:space="preserve">Adoption:</w:t>
      </w:r>
      <w:r>
        <w:t xml:space="preserve"> the share of adults using GLP-1 drugs and how fast it is rising (the report puts use at roughly one in eight adults)</w:t>
      </w:r>
    </w:p>
    <w:p>
      <w:pPr>
        <w:pStyle w:val="ListParagraph"/>
        <w:numPr>
          <w:ilvl w:val="0"/>
          <w:numId w:val="5"/>
        </w:numPr>
      </w:pPr>
      <w:r>
        <w:rPr>
          <w:b/>
        </w:rPr>
        <w:t xml:space="preserve">Access and price:</w:t>
      </w:r>
      <w:r>
        <w:t xml:space="preserve"> new oral versions, and changes in coverage and pricing, such as lower Medicare pricing taking effect in 2027</w:t>
      </w:r>
    </w:p>
    <w:p>
      <w:pPr>
        <w:pStyle w:val="ListParagraph"/>
        <w:numPr>
          <w:ilvl w:val="0"/>
          <w:numId w:val="5"/>
        </w:numPr>
      </w:pPr>
      <w:r>
        <w:rPr>
          <w:b/>
        </w:rPr>
        <w:t xml:space="preserve">Spending shifts:</w:t>
      </w:r>
      <w:r>
        <w:t xml:space="preserve"> what GLP-1 households buy less of (snacks, sweets, sugary drinks) and more of (protein and nutrient-dense foods)</w:t>
      </w:r>
    </w:p>
    <w:p>
      <w:pPr>
        <w:pStyle w:val="ListParagraph"/>
        <w:numPr>
          <w:ilvl w:val="0"/>
          <w:numId w:val="5"/>
        </w:numPr>
      </w:pPr>
      <w:r>
        <w:rPr>
          <w:b/>
        </w:rPr>
        <w:t xml:space="preserve">A definable segment:</w:t>
      </w:r>
      <w:r>
        <w:t xml:space="preserve"> whether GLP-1 users are a segment buyers will contract with, which is the test the investment-grade demand lens (ID-5) applies</w:t>
      </w:r>
    </w:p>
    <w:p>
      <w:pPr>
        <w:pStyle w:val="ListParagraph"/>
        <w:numPr>
          <w:ilvl w:val="0"/>
          <w:numId w:val="5"/>
        </w:numPr>
      </w:pPr>
      <w:r>
        <w:rPr>
          <w:b/>
        </w:rPr>
        <w:t xml:space="preserve">Pass-through:</w:t>
      </w:r>
      <w:r>
        <w:t xml:space="preserve"> whether any premium reaches the grower, and which commodities and product categories gain or lose</w:t>
      </w:r>
    </w:p>
    <w:p>
      <w:pPr>
        <w:pStyle w:val="ListParagraph"/>
        <w:numPr>
          <w:ilvl w:val="0"/>
          <w:numId w:val="5"/>
        </w:numPr>
      </w:pPr>
      <w:r>
        <w:rPr>
          <w:b/>
        </w:rPr>
        <w:t xml:space="preserve">Policy link:</w:t>
      </w:r>
      <w:r>
        <w:t xml:space="preserve"> how dietary guidance and nutrition program rules reinforce or cut across the shift</w:t>
      </w:r>
    </w:p>
    <w:p>
      <w:pPr/>
      <w:r>
        <w:rPr>
          <w:b/>
        </w:rPr>
        <w:t xml:space="preserve">Questions:</w:t>
      </w:r>
      <w:r>
        <w:t xml:space="preserve"> How fast is GLP-1 use growing, and which food categories are moving with it? Is policy reinforcing the consumer shift? Which categories are gaining or losing? Is demand reaching producers or stopping at retail?</w:t>
      </w:r>
    </w:p>
    <w:p>
      <w:pPr/>
      <w:r>
        <w:rPr>
          <w:b/>
        </w:rPr>
        <w:t xml:space="preserve">Evidence:</w:t>
      </w:r>
      <w:r>
        <w:t xml:space="preserve"> Dietary Guidelines (S059), FDA (S060), CDC (S061), consumer surveys (S062), retail data (S063), food spending data (S140), BLS prices (S139), health research and GLP-1 uptake studies (S141, S177, S178), drug pricing and approvals (S179, S180), organic sales (S181), household purchase panels showing how GLP-1 households shop (S063), nutrition program rules (S087).</w:t>
      </w:r>
    </w:p>
    <w:p>
      <w:pPr>
        <w:pStyle w:val="Heading3"/>
      </w:pPr>
      <w:r>
        <w:t xml:space="preserve">Climate Volatility</w:t>
      </w:r>
    </w:p>
    <w:p>
      <w:pPr/>
      <w:r>
        <w:rPr>
          <w:b/>
        </w:rPr>
        <w:t xml:space="preserve">Starts from:</w:t>
      </w:r>
      <w:r>
        <w:t xml:space="preserve"> Climate is a strategic risk and an opportunity; water access and management will constrain agriculture; regional specialization with strategic investment can create value; volatility plus weak risk tools raises farm vulnerability.</w:t>
      </w:r>
    </w:p>
    <w:p>
      <w:pPr/>
      <w:r>
        <w:rPr>
          <w:b/>
        </w:rPr>
        <w:t xml:space="preserve">Central threads:</w:t>
      </w:r>
      <w:r>
        <w:t xml:space="preserve"> (1) Western water allocation, now tied to the Colorado River rules after 2026; (2) who bears weather losses, meaning insurance, ad hoc aid, and the risk-management gap; (3) the split between rising physical risk and a retreating federal response, with requirements shifting to states, buyers, and export markets; (4) shifting climate zones and the case for regional specialization.</w:t>
      </w:r>
    </w:p>
    <w:p>
      <w:pPr/>
      <w:r>
        <w:rPr>
          <w:b/>
        </w:rPr>
        <w:t xml:space="preserve">Factors:</w:t>
      </w:r>
      <w:r>
        <w:t xml:space="preserve"> projections; shifting climate zones; crop and animal impacts; extreme weather; strained supply chains; economic losses from weather; water risk; regulation and the direction of federal policy; risk management tools and ad hoc aid; seasonal patterns such as El Niño.</w:t>
      </w:r>
    </w:p>
    <w:p>
      <w:pPr/>
      <w:r>
        <w:rPr>
          <w:b/>
        </w:rPr>
        <w:t xml:space="preserve">Questions:</w:t>
      </w:r>
      <w:r>
        <w:t xml:space="preserve"> Is physical risk rising faster than the policy response? Where is water the binding constraint? Who bears the loss: farmers, insurers, or taxpayers?</w:t>
      </w:r>
    </w:p>
    <w:p>
      <w:pPr/>
      <w:r>
        <w:rPr>
          <w:b/>
        </w:rPr>
        <w:t xml:space="preserve">Evidence:</w:t>
      </w:r>
      <w:r>
        <w:t xml:space="preserve"> NOAA outlooks (S064, S116), drought status (S065), global crop prospects (S067), insurance data (S068), climate assessments (S128, S129), Copernicus (S066), water and snowpack (S120, S121, S122), disaster loss tracking (S182), decadal warming outlook (S183).</w:t>
      </w:r>
    </w:p>
    <w:p>
      <w:pPr>
        <w:pStyle w:val="Heading3"/>
      </w:pPr>
      <w:r>
        <w:t xml:space="preserve">Technology</w:t>
      </w:r>
    </w:p>
    <w:p>
      <w:pPr/>
      <w:r>
        <w:rPr>
          <w:b/>
        </w:rPr>
        <w:t xml:space="preserve">Starts from:</w:t>
      </w:r>
      <w:r>
        <w:t xml:space="preserve"> Digital technology, automation, and AI transform operations and shift value toward services and outcomes; traditional models become obsolete; standards are essential for trust, cross-platform data use, and farmer rights.</w:t>
      </w:r>
    </w:p>
    <w:p>
      <w:pPr/>
      <w:r>
        <w:rPr>
          <w:b/>
        </w:rPr>
        <w:t xml:space="preserve">Central threads:</w:t>
      </w:r>
      <w:r>
        <w:t xml:space="preserve"> (1) adoption and proven return, since established precision tools are mainstream, farm-specific AI is early, and many growers see no benefit yet; (2) the shift from products to services; (3) supply-chain and security limits on the tools farmers can buy; (4) data standards and farmer data rights, shared with Ownership.</w:t>
      </w:r>
    </w:p>
    <w:p>
      <w:pPr/>
      <w:r>
        <w:rPr>
          <w:b/>
        </w:rPr>
        <w:t xml:space="preserve">Factors:</w:t>
      </w:r>
      <w:r>
        <w:t xml:space="preserve"> adoption of precision tools, AI, and drones; data as the lifeblood of digital agriculture; software growing faster than hardware; the move from products to services; regulations that drive or slow adoption; connectivity and infrastructure; technology funding; supply-chain and security limits on available tools; new proteins and biotech approvals.</w:t>
      </w:r>
    </w:p>
    <w:p>
      <w:pPr/>
      <w:r>
        <w:rPr>
          <w:b/>
        </w:rPr>
        <w:t xml:space="preserve">Questions:</w:t>
      </w:r>
      <w:r>
        <w:t xml:space="preserve"> Which tools are mainstream, which are not paying off yet, and what limits access? Where does the value move: to the farm, the platform, or the supplier?</w:t>
      </w:r>
    </w:p>
    <w:p>
      <w:pPr/>
      <w:r>
        <w:rPr>
          <w:b/>
        </w:rPr>
        <w:t xml:space="preserve">Evidence:</w:t>
      </w:r>
      <w:r>
        <w:t xml:space="preserve"> AgFunder (S070), patents (S069), farm technology survey (S134), research funding (S135), FDA ingredient notices (S137), company filings (S138), adoption surveys (S188), federal rules (S057).</w:t>
      </w:r>
    </w:p>
    <w:p>
      <w:pPr>
        <w:pStyle w:val="Heading3"/>
      </w:pPr>
      <w:r>
        <w:t xml:space="preserve">Ownership</w:t>
      </w:r>
    </w:p>
    <w:p>
      <w:pPr/>
      <w:r>
        <w:rPr>
          <w:b/>
        </w:rPr>
        <w:t xml:space="preserve">Starts from:</w:t>
      </w:r>
      <w:r>
        <w:t xml:space="preserve"> Land ownership is separating from operation; value creation shifts toward intangible assets such as data and knowledge; raw data ownership is the baseline, and converting it into knowledge creates the value; farmer-owned intellectual property and data cooperatives support competitiveness.</w:t>
      </w:r>
    </w:p>
    <w:p>
      <w:pPr/>
      <w:r>
        <w:rPr>
          <w:b/>
        </w:rPr>
        <w:t xml:space="preserve">Central threads:</w:t>
      </w:r>
      <w:r>
        <w:t xml:space="preserve"> (1) the owner and operator gap, with record land values against falling income and rising operator stress; (2) succession and transfer, including the estate tax exemption; (3) control of data and equipment, including right to repair; (4) foreign and institutional ownership; (5) agency, meaning whether a farm holds one of the four scarce positions.</w:t>
      </w:r>
    </w:p>
    <w:p>
      <w:pPr/>
      <w:r>
        <w:rPr>
          <w:b/>
        </w:rPr>
        <w:t xml:space="preserve">Factors:</w:t>
      </w:r>
      <w:r>
        <w:t xml:space="preserve"> land values and rents; farm debt and financial stress; succession and estate rules; foreign ownership of farmland; consolidation; data ownership and right-to-repair rules; farmer-owned IP; cooperative models; agency over adaptive capacity.</w:t>
      </w:r>
    </w:p>
    <w:p>
      <w:pPr/>
      <w:r>
        <w:rPr>
          <w:b/>
        </w:rPr>
        <w:t xml:space="preserve">Questions:</w:t>
      </w:r>
      <w:r>
        <w:t xml:space="preserve"> Is the gap between owners and operators widening? Who holds the scarce position at the binding constraint? What does this mean for passing the farm on?</w:t>
      </w:r>
    </w:p>
    <w:p>
      <w:pPr/>
      <w:r>
        <w:rPr>
          <w:b/>
        </w:rPr>
        <w:t xml:space="preserve">Evidence:</w:t>
      </w:r>
      <w:r>
        <w:t xml:space="preserve"> land values (S015), credit surveys (S046, S047, S146), farm structure (S014, S134), foreign holdings (S016), competition actions (S071), tax guidance (S090, S174), financial data (S149), investor farmland returns (S184), farm bankruptcy filings (S185).</w:t>
      </w:r>
    </w:p>
    <w:p>
      <w:pPr>
        <w:pStyle w:val="Heading3"/>
      </w:pPr>
      <w:r>
        <w:t xml:space="preserve">Threads that run through every driver</w:t>
      </w:r>
    </w:p>
    <w:p>
      <w:pPr/>
      <w:r>
        <w:rPr>
          <w:b/>
        </w:rPr>
        <w:t xml:space="preserve">Who captures the value.</w:t>
      </w:r>
      <w:r>
        <w:t xml:space="preserve"> Apply adaptive capacity (AC-5) and investment-grade demand (ID-5) in every brief to name the binding constraint and who holds the scarce position there. Both are working drafts and the brief says so.</w:t>
      </w:r>
    </w:p>
    <w:p>
      <w:pPr/>
      <w:r>
        <w:rPr>
          <w:b/>
        </w:rPr>
        <w:t xml:space="preserve">Farm financial stress.</w:t>
      </w:r>
      <w:r>
        <w:t xml:space="preserve"> Input costs, government payments, and debt link Geopolitics to Ownership. The cross-driver agent tracks this link so that one brief's shock shows up in the other.</w:t>
      </w:r>
    </w:p>
    <w:p>
      <w:pPr>
        <w:pStyle w:val="Heading2"/>
      </w:pPr>
      <w:r>
        <w:t xml:space="preserve">The agent team</w:t>
      </w:r>
    </w:p>
    <w:p>
      <w:pPr/>
      <w:r>
        <w:drawing>
          <wp:inline distT="0" distB="0" distL="0" distR="0">
            <wp:extent cx="5486400" cy="2881992"/>
            <wp:docPr id="1" name="image1" descr="agent team · eleven steps from scope to publish, with a refresh loop"/>
            <a:graphic xmlns:a="http://schemas.openxmlformats.org/drawingml/2006/main">
              <a:graphicData uri="http://schemas.openxmlformats.org/drawingml/2006/picture">
                <pic:pic xmlns:pic="http://schemas.openxmlformats.org/drawingml/2006/picture">
                  <pic:nvPicPr>
                    <pic:cNvPr id="1" name="image1" descr="agent team · eleven steps from scope to publish, with a refresh loop"/>
                    <pic:cNvPicPr/>
                  </pic:nvPicPr>
                  <pic:blipFill>
                    <a:blip r:embed="rId3"/>
                    <a:stretch>
                      <a:fillRect/>
                    </a:stretch>
                  </pic:blipFill>
                  <pic:spPr>
                    <a:xfrm>
                      <a:off x="0" y="0"/>
                      <a:ext cx="5486400" cy="2881992"/>
                    </a:xfrm>
                    <a:prstGeom prst="rect">
                      <a:avLst/>
                    </a:prstGeom>
                  </pic:spPr>
                </pic:pic>
              </a:graphicData>
            </a:graphic>
          </wp:inline>
        </w:drawing>
      </w:r>
    </w:p>
    <w:p>
      <w:pPr/>
      <w:r>
        <w:t xml:space="preserve">agent team · eleven steps from scope to publish, with a refresh loop</w:t>
      </w:r>
    </w:p>
    <w:p>
      <w:pPr/>
      <w:r>
        <w:t xml:space="preserve">A managing editor agent runs the flow, assigns each step, and keeps the versions. Evidence moves left to right on the top row, claims are tested and translated to the farm on the middle row, and the brief is polished, approved by a person, and published on the bottom row. A confirmed event or the schedule sends it back to the start.</w:t>
      </w:r>
    </w:p>
    <w:p>
      <w:pPr>
        <w:pStyle w:val="Heading2"/>
      </w:pPr>
      <w:r>
        <w:t xml:space="preserve">Job descriptions</w:t>
      </w:r>
    </w:p>
    <w:p>
      <w:pPr/>
      <w:r>
        <w:t xml:space="preserve">Each agent has one mission, a defined set of inputs and outputs, a quality bar it must meet, and limits it must not cross. The managing editor sits above the eleven steps in the flow.</w:t>
      </w:r>
    </w:p>
    <w:tbl>
      <w:tblPr>
        <w:tblStyle w:val="TableGrid"/>
        <w:tblW w:w="0" w:type="auto"/>
        <w:tblLayout w:type="fixed"/>
        <w:tblLook w:val="04A0" w:firstRow="1" w:lastRow="0" w:firstColumn="0" w:lastColumn="0" w:noHBand="0" w:noVBand="1"/>
      </w:tblPr>
      <w:tblGrid>
        <w:gridCol w:w="1345"/>
        <w:gridCol w:w="3715"/>
        <w:gridCol w:w="1786"/>
        <w:gridCol w:w="2514"/>
      </w:tblGrid>
      <w:tr>
        <w:trPr>
          <w:tblHeader/>
        </w:trPr>
        <w:tc>
          <w:tcPr>
            <w:tcW w:w="1345" w:type="dxa"/>
            <w:shd w:val="clear" w:color="auto" w:fill="F2F2F2"/>
          </w:tcPr>
          <w:p>
            <w:pPr/>
            <w:r>
              <w:t xml:space="preserve">Agent</w:t>
            </w:r>
          </w:p>
        </w:tc>
        <w:tc>
          <w:tcPr>
            <w:tcW w:w="3715" w:type="dxa"/>
            <w:shd w:val="clear" w:color="auto" w:fill="F2F2F2"/>
          </w:tcPr>
          <w:p>
            <w:pPr/>
            <w:r>
              <w:t xml:space="preserve">Mission and tasks</w:t>
            </w:r>
          </w:p>
        </w:tc>
        <w:tc>
          <w:tcPr>
            <w:tcW w:w="1786" w:type="dxa"/>
            <w:shd w:val="clear" w:color="auto" w:fill="F2F2F2"/>
          </w:tcPr>
          <w:p>
            <w:pPr/>
            <w:r>
              <w:t xml:space="preserve">Inputs and outputs</w:t>
            </w:r>
          </w:p>
        </w:tc>
        <w:tc>
          <w:tcPr>
            <w:tcW w:w="2514" w:type="dxa"/>
            <w:shd w:val="clear" w:color="auto" w:fill="F2F2F2"/>
          </w:tcPr>
          <w:p>
            <w:pPr/>
            <w:r>
              <w:t xml:space="preserve">Quality bar and limits</w:t>
            </w:r>
          </w:p>
        </w:tc>
      </w:tr>
      <w:tr>
        <w:tc>
          <w:tcPr>
            <w:tcW w:w="1345" w:type="dxa"/>
          </w:tcPr>
          <w:p>
            <w:pPr/>
            <w:r>
              <w:t xml:space="preserve">Managing editor</w:t>
            </w:r>
          </w:p>
        </w:tc>
        <w:tc>
          <w:tcPr>
            <w:tcW w:w="3715" w:type="dxa"/>
          </w:tcPr>
          <w:p>
            <w:pPr/>
            <w:r>
              <w:t xml:space="preserve">Runs each brief from scope to publication. Assigns steps, enforces order and budgets, merges outputs, keeps versions</w:t>
            </w:r>
          </w:p>
        </w:tc>
        <w:tc>
          <w:tcPr>
            <w:tcW w:w="1786" w:type="dxa"/>
          </w:tcPr>
          <w:p>
            <w:pPr/>
            <w:r>
              <w:t xml:space="preserve">In: brief request, driver, as-of window, prior brief. Out: assembled draft, status, change log</w:t>
            </w:r>
          </w:p>
        </w:tc>
        <w:tc>
          <w:tcPr>
            <w:tcW w:w="2514" w:type="dxa"/>
          </w:tcPr>
          <w:p>
            <w:pPr/>
            <w:r>
              <w:t xml:space="preserve">No brief moves on with open flags; every handoff is logged. Does not write analysis or override reviewers</w:t>
            </w:r>
          </w:p>
        </w:tc>
      </w:tr>
      <w:tr>
        <w:tc>
          <w:tcPr>
            <w:tcW w:w="1345" w:type="dxa"/>
          </w:tcPr>
          <w:p>
            <w:pPr/>
            <w:r>
              <w:t xml:space="preserve">1. Scope agent</w:t>
            </w:r>
          </w:p>
        </w:tc>
        <w:tc>
          <w:tcPr>
            <w:tcW w:w="3715" w:type="dxa"/>
          </w:tcPr>
          <w:p>
            <w:pPr/>
            <w:r>
              <w:t xml:space="preserve">Decides what this brief must examine. Reads the prior brief and the report's takeaways, lists factors, central threads, and questions, sets the as-of window and the evidence needed</w:t>
            </w:r>
          </w:p>
        </w:tc>
        <w:tc>
          <w:tcPr>
            <w:tcW w:w="1786" w:type="dxa"/>
          </w:tcPr>
          <w:p>
            <w:pPr/>
            <w:r>
              <w:t xml:space="preserve">In: prior brief, report chapter, triggers since last edition. Out: scope sheet</w:t>
            </w:r>
          </w:p>
        </w:tc>
        <w:tc>
          <w:tcPr>
            <w:tcW w:w="2514" w:type="dxa"/>
          </w:tcPr>
          <w:p>
            <w:pPr/>
            <w:r>
              <w:t xml:space="preserve">Every prior takeaway is kept for testing or retired with a reason. Does not gather evidence</w:t>
            </w:r>
          </w:p>
        </w:tc>
      </w:tr>
      <w:tr>
        <w:tc>
          <w:tcPr>
            <w:tcW w:w="1345" w:type="dxa"/>
          </w:tcPr>
          <w:p>
            <w:pPr/>
            <w:r>
              <w:t xml:space="preserve">2. Evidence scouts (one per source family: official data, market and trade, policy and legal, climate and science, technology and industry, consumer and health)</w:t>
            </w:r>
          </w:p>
        </w:tc>
        <w:tc>
          <w:tcPr>
            <w:tcW w:w="3715" w:type="dxa"/>
          </w:tcPr>
          <w:p>
            <w:pPr/>
            <w:r>
              <w:t xml:space="preserve">Gather dated evidence for the scope, looking in tier order: synthesized and curated sources first, primary data to fetch a value or verify</w:t>
            </w:r>
          </w:p>
        </w:tc>
        <w:tc>
          <w:tcPr>
            <w:tcW w:w="1786" w:type="dxa"/>
          </w:tcPr>
          <w:p>
            <w:pPr/>
            <w:r>
              <w:t xml:space="preserve">In: scope sheet, source registry. Out: evidence cards (claim, number, source, date, tier, route)</w:t>
            </w:r>
          </w:p>
        </w:tc>
        <w:tc>
          <w:tcPr>
            <w:tcW w:w="2514" w:type="dxa"/>
          </w:tcPr>
          <w:p>
            <w:pPr/>
            <w:r>
              <w:t xml:space="preserve">Every card has source, date, and how it was retrieved. No interpretation, no content from outside the registry without flagging, and license limits respected</w:t>
            </w:r>
          </w:p>
        </w:tc>
      </w:tr>
      <w:tr>
        <w:tc>
          <w:tcPr>
            <w:tcW w:w="1345" w:type="dxa"/>
          </w:tcPr>
          <w:p>
            <w:pPr/>
            <w:r>
              <w:t xml:space="preserve">3. Evidence librarian</w:t>
            </w:r>
          </w:p>
        </w:tc>
        <w:tc>
          <w:tcPr>
            <w:tcW w:w="3715" w:type="dxa"/>
          </w:tcPr>
          <w:p>
            <w:pPr/>
            <w:r>
              <w:t xml:space="preserve">Removes duplicates, traces each card to its root, marks echoes and independent signals, labels freshness (latest edition, not updated since)</w:t>
            </w:r>
          </w:p>
        </w:tc>
        <w:tc>
          <w:tcPr>
            <w:tcW w:w="1786" w:type="dxa"/>
          </w:tcPr>
          <w:p>
            <w:pPr/>
            <w:r>
              <w:t xml:space="preserve">In: evidence cards. Out: cleaned evidence set, source list</w:t>
            </w:r>
          </w:p>
        </w:tc>
        <w:tc>
          <w:tcPr>
            <w:tcW w:w="2514" w:type="dxa"/>
          </w:tcPr>
          <w:p>
            <w:pPr/>
            <w:r>
              <w:t xml:space="preserve">No number enters analysis without a root and a date. Does not judge direction</w:t>
            </w:r>
          </w:p>
        </w:tc>
      </w:tr>
      <w:tr>
        <w:tc>
          <w:tcPr>
            <w:tcW w:w="1345" w:type="dxa"/>
          </w:tcPr>
          <w:p>
            <w:pPr/>
            <w:r>
              <w:t xml:space="preserve">4. Driver analyst (one per driver)</w:t>
            </w:r>
          </w:p>
        </w:tc>
        <w:tc>
          <w:tcPr>
            <w:tcW w:w="3715" w:type="dxa"/>
          </w:tcPr>
          <w:p>
            <w:pPr/>
            <w:r>
              <w:t xml:space="preserve">Judges what changed and which way the driver is moving. Tests each takeaway, assigns net direction, writes the effect on the takeaways and the timeline, applies AC-5 and ID-5, proposes what to watch</w:t>
            </w:r>
          </w:p>
        </w:tc>
        <w:tc>
          <w:tcPr>
            <w:tcW w:w="1786" w:type="dxa"/>
          </w:tcPr>
          <w:p>
            <w:pPr/>
            <w:r>
              <w:t xml:space="preserve">In: evidence set, scope sheet. Out: key takeaways, possible effect on the driver</w:t>
            </w:r>
          </w:p>
        </w:tc>
        <w:tc>
          <w:tcPr>
            <w:tcW w:w="2514" w:type="dxa"/>
          </w:tcPr>
          <w:p>
            <w:pPr/>
            <w:r>
              <w:t xml:space="preserve">Each judgment cites evidence cards, separates fact from Idealyst's analysis, and carries a confidence label. No farm advice, no figures beyond the cards</w:t>
            </w:r>
          </w:p>
        </w:tc>
      </w:tr>
      <w:tr>
        <w:tc>
          <w:tcPr>
            <w:tcW w:w="1345" w:type="dxa"/>
          </w:tcPr>
          <w:p>
            <w:pPr/>
            <w:r>
              <w:t xml:space="preserve">5. Cross-driver agent</w:t>
            </w:r>
          </w:p>
        </w:tc>
        <w:tc>
          <w:tcPr>
            <w:tcW w:w="3715" w:type="dxa"/>
          </w:tcPr>
          <w:p>
            <w:pPr/>
            <w:r>
              <w:t xml:space="preserve">Looks across drivers for interactions, such as an input shock in Geopolitics adding debt stress in Ownership, and for contradictions or double counting between briefs</w:t>
            </w:r>
          </w:p>
        </w:tc>
        <w:tc>
          <w:tcPr>
            <w:tcW w:w="1786" w:type="dxa"/>
          </w:tcPr>
          <w:p>
            <w:pPr/>
            <w:r>
              <w:t xml:space="preserve">In: all driver drafts. Out: cross-driver notes</w:t>
            </w:r>
          </w:p>
        </w:tc>
        <w:tc>
          <w:tcPr>
            <w:tcW w:w="2514" w:type="dxa"/>
          </w:tcPr>
          <w:p>
            <w:pPr/>
            <w:r>
              <w:t xml:space="preserve">Contradictions are resolved or logged; direction labels are used consistently</w:t>
            </w:r>
          </w:p>
        </w:tc>
      </w:tr>
      <w:tr>
        <w:tc>
          <w:tcPr>
            <w:tcW w:w="1345" w:type="dxa"/>
          </w:tcPr>
          <w:p>
            <w:pPr/>
            <w:r>
              <w:t xml:space="preserve">6. Farm lens agent</w:t>
            </w:r>
          </w:p>
        </w:tc>
        <w:tc>
          <w:tcPr>
            <w:tcW w:w="3715" w:type="dxa"/>
          </w:tcPr>
          <w:p>
            <w:pPr/>
            <w:r>
              <w:t xml:space="preserve">Translates each driver into what it means for farms: NOI, diversification in and outside production, efficiency, and legacy, by farm type and size. Maps paths opened or closed from the 29-path library</w:t>
            </w:r>
          </w:p>
        </w:tc>
        <w:tc>
          <w:tcPr>
            <w:tcW w:w="1786" w:type="dxa"/>
          </w:tcPr>
          <w:p>
            <w:pPr/>
            <w:r>
              <w:t xml:space="preserve">In: analyst draft, diversification library. Out: what it means for farms, paths opened or closed</w:t>
            </w:r>
          </w:p>
        </w:tc>
        <w:tc>
          <w:tcPr>
            <w:tcW w:w="2514" w:type="dxa"/>
          </w:tcPr>
          <w:p>
            <w:pPr/>
            <w:r>
              <w:t xml:space="preserve">Each implication ties to a takeaway and states uncertainty. No advice or farm-specific recommendations; those belong in updates</w:t>
            </w:r>
          </w:p>
        </w:tc>
      </w:tr>
      <w:tr>
        <w:tc>
          <w:tcPr>
            <w:tcW w:w="1345" w:type="dxa"/>
          </w:tcPr>
          <w:p>
            <w:pPr/>
            <w:r>
              <w:t xml:space="preserve">7. Indicator agent</w:t>
            </w:r>
          </w:p>
        </w:tc>
        <w:tc>
          <w:tcPr>
            <w:tcW w:w="3715" w:type="dxa"/>
          </w:tcPr>
          <w:p>
            <w:pPr/>
            <w:r>
              <w:t xml:space="preserve">Defines what to watch, with a registry source, the kind (leading, confirming, lagging), and a starting threshold. Notes what would change the brief and which policy items to track</w:t>
            </w:r>
          </w:p>
        </w:tc>
        <w:tc>
          <w:tcPr>
            <w:tcW w:w="1786" w:type="dxa"/>
          </w:tcPr>
          <w:p>
            <w:pPr/>
            <w:r>
              <w:t xml:space="preserve">In: analyst draft, source registry. Out: indicators and triggers table, policy backdrop</w:t>
            </w:r>
          </w:p>
        </w:tc>
        <w:tc>
          <w:tcPr>
            <w:tcW w:w="2514" w:type="dxa"/>
          </w:tcPr>
          <w:p>
            <w:pPr/>
            <w:r>
              <w:t xml:space="preserve">Every indicator has a registry ID and cadence. Thresholds are proposals until reviewed</w:t>
            </w:r>
          </w:p>
        </w:tc>
      </w:tr>
      <w:tr>
        <w:tc>
          <w:tcPr>
            <w:tcW w:w="1345" w:type="dxa"/>
          </w:tcPr>
          <w:p>
            <w:pPr/>
            <w:r>
              <w:t xml:space="preserve">8. Challenge agent (skeptic and fact-checker)</w:t>
            </w:r>
          </w:p>
        </w:tc>
        <w:tc>
          <w:tcPr>
            <w:tcW w:w="3715" w:type="dxa"/>
          </w:tcPr>
          <w:p>
            <w:pPr/>
            <w:r>
              <w:t xml:space="preserve">The skeptic hunts for contrary evidence and statements overtaken by events. The fact-checker verifies each figure against its evidence card and checks quotes stay short</w:t>
            </w:r>
          </w:p>
        </w:tc>
        <w:tc>
          <w:tcPr>
            <w:tcW w:w="1786" w:type="dxa"/>
          </w:tcPr>
          <w:p>
            <w:pPr/>
            <w:r>
              <w:t xml:space="preserve">In: full draft, evidence set. Out: issue list with severity</w:t>
            </w:r>
          </w:p>
        </w:tc>
        <w:tc>
          <w:tcPr>
            <w:tcW w:w="2514" w:type="dxa"/>
          </w:tcPr>
          <w:p>
            <w:pPr/>
            <w:r>
              <w:t xml:space="preserve">No high-severity issue stays open. It returns issues to the analyst and does not edit the analysis</w:t>
            </w:r>
          </w:p>
        </w:tc>
      </w:tr>
      <w:tr>
        <w:tc>
          <w:tcPr>
            <w:tcW w:w="1345" w:type="dxa"/>
          </w:tcPr>
          <w:p>
            <w:pPr/>
            <w:r>
              <w:t xml:space="preserve">9. Style editor</w:t>
            </w:r>
          </w:p>
        </w:tc>
        <w:tc>
          <w:tcPr>
            <w:tcW w:w="3715" w:type="dxa"/>
          </w:tcPr>
          <w:p>
            <w:pPr/>
            <w:r>
              <w:t xml:space="preserve">Brings the draft to the report's voice: plain sentences, consistent labels and units, complete sections, length within budget</w:t>
            </w:r>
          </w:p>
        </w:tc>
        <w:tc>
          <w:tcPr>
            <w:tcW w:w="1786" w:type="dxa"/>
          </w:tcPr>
          <w:p>
            <w:pPr/>
            <w:r>
              <w:t xml:space="preserve">In: cleared draft. Out: edited draft</w:t>
            </w:r>
          </w:p>
        </w:tc>
        <w:tc>
          <w:tcPr>
            <w:tcW w:w="2514" w:type="dxa"/>
          </w:tcPr>
          <w:p>
            <w:pPr/>
            <w:r>
              <w:t xml:space="preserve">Reads like the Future State Report. Must not change meaning; flags any edit that would</w:t>
            </w:r>
          </w:p>
        </w:tc>
      </w:tr>
      <w:tr>
        <w:tc>
          <w:tcPr>
            <w:tcW w:w="1345" w:type="dxa"/>
          </w:tcPr>
          <w:p>
            <w:pPr/>
            <w:r>
              <w:t xml:space="preserve">10. Human reviewer (a person, not an agent)</w:t>
            </w:r>
          </w:p>
        </w:tc>
        <w:tc>
          <w:tcPr>
            <w:tcW w:w="3715" w:type="dxa"/>
          </w:tcPr>
          <w:p>
            <w:pPr/>
            <w:r>
              <w:t xml:space="preserve">Approves, returns, or rejects. Checks direction, takeaways, and any sensitive claims</w:t>
            </w:r>
          </w:p>
        </w:tc>
        <w:tc>
          <w:tcPr>
            <w:tcW w:w="1786" w:type="dxa"/>
          </w:tcPr>
          <w:p>
            <w:pPr/>
            <w:r>
              <w:t xml:space="preserve">In: edited draft, issue log. Out: approval record</w:t>
            </w:r>
          </w:p>
        </w:tc>
        <w:tc>
          <w:tcPr>
            <w:tcW w:w="2514" w:type="dxa"/>
          </w:tcPr>
          <w:p>
            <w:pPr/>
            <w:r>
              <w:t xml:space="preserve">At launch, every brief is reviewed. Approval is recorded with name and date</w:t>
            </w:r>
          </w:p>
        </w:tc>
      </w:tr>
      <w:tr>
        <w:tc>
          <w:tcPr>
            <w:tcW w:w="1345" w:type="dxa"/>
          </w:tcPr>
          <w:p>
            <w:pPr/>
            <w:r>
              <w:t xml:space="preserve">11. Publisher and refresh agent</w:t>
            </w:r>
          </w:p>
        </w:tc>
        <w:tc>
          <w:tcPr>
            <w:tcW w:w="3715" w:type="dxa"/>
          </w:tcPr>
          <w:p>
            <w:pPr/>
            <w:r>
              <w:t xml:space="preserve">Publishes the approved version with its as-of date and change log. Watches the schedule and confirmed events, opens refresh jobs, and tells downstream agents which briefs changed</w:t>
            </w:r>
          </w:p>
        </w:tc>
        <w:tc>
          <w:tcPr>
            <w:tcW w:w="1786" w:type="dxa"/>
          </w:tcPr>
          <w:p>
            <w:pPr/>
            <w:r>
              <w:t xml:space="preserve">In: approved draft, refresh rules. Out: published brief, change log, refresh job</w:t>
            </w:r>
          </w:p>
        </w:tc>
        <w:tc>
          <w:tcPr>
            <w:tcW w:w="2514" w:type="dxa"/>
          </w:tcPr>
          <w:p>
            <w:pPr/>
            <w:r>
              <w:t xml:space="preserve">Cannot publish without approval. No brief runs past its cadence without a visible flag</w:t>
            </w:r>
          </w:p>
        </w:tc>
      </w:tr>
    </w:tbl>
    <w:p>
      <w:pPr>
        <w:pStyle w:val="Heading2"/>
      </w:pPr>
      <w:r>
        <w:t xml:space="preserve">Quality, review, and refresh</w:t>
      </w:r>
    </w:p>
    <w:tbl>
      <w:tblPr>
        <w:tblStyle w:val="TableGrid"/>
        <w:tblW w:w="0" w:type="auto"/>
        <w:tblLayout w:type="fixed"/>
        <w:tblLook w:val="04A0" w:firstRow="1" w:lastRow="0" w:firstColumn="0" w:lastColumn="0" w:noHBand="0" w:noVBand="1"/>
      </w:tblPr>
      <w:tblGrid>
        <w:gridCol w:w="2413"/>
        <w:gridCol w:w="4920"/>
        <w:gridCol w:w="2027"/>
      </w:tblGrid>
      <w:tr>
        <w:trPr>
          <w:tblHeader/>
        </w:trPr>
        <w:tc>
          <w:tcPr>
            <w:tcW w:w="2413" w:type="dxa"/>
            <w:shd w:val="clear" w:color="auto" w:fill="F2F2F2"/>
          </w:tcPr>
          <w:p>
            <w:pPr/>
            <w:r>
              <w:t xml:space="preserve">Area</w:t>
            </w:r>
          </w:p>
        </w:tc>
        <w:tc>
          <w:tcPr>
            <w:tcW w:w="4920" w:type="dxa"/>
            <w:shd w:val="clear" w:color="auto" w:fill="F2F2F2"/>
          </w:tcPr>
          <w:p>
            <w:pPr/>
            <w:r>
              <w:t xml:space="preserve">Rule</w:t>
            </w:r>
          </w:p>
        </w:tc>
        <w:tc>
          <w:tcPr>
            <w:tcW w:w="2027" w:type="dxa"/>
            <w:shd w:val="clear" w:color="auto" w:fill="F2F2F2"/>
          </w:tcPr>
          <w:p>
            <w:pPr/>
            <w:r>
              <w:t xml:space="preserve">Who enforces it</w:t>
            </w:r>
          </w:p>
        </w:tc>
      </w:tr>
      <w:tr>
        <w:tc>
          <w:tcPr>
            <w:tcW w:w="2413" w:type="dxa"/>
          </w:tcPr>
          <w:p>
            <w:pPr/>
            <w:r>
              <w:t xml:space="preserve">Provenance</w:t>
            </w:r>
          </w:p>
        </w:tc>
        <w:tc>
          <w:tcPr>
            <w:tcW w:w="4920" w:type="dxa"/>
          </w:tcPr>
          <w:p>
            <w:pPr/>
            <w:r>
              <w:t xml:space="preserve">Every number has a source, a date, and a retrieval route</w:t>
            </w:r>
          </w:p>
        </w:tc>
        <w:tc>
          <w:tcPr>
            <w:tcW w:w="2027" w:type="dxa"/>
          </w:tcPr>
          <w:p>
            <w:pPr/>
            <w:r>
              <w:t xml:space="preserve">Evidence librarian, fact-checker</w:t>
            </w:r>
          </w:p>
        </w:tc>
      </w:tr>
      <w:tr>
        <w:tc>
          <w:tcPr>
            <w:tcW w:w="2413" w:type="dxa"/>
          </w:tcPr>
          <w:p>
            <w:pPr/>
            <w:r>
              <w:t xml:space="preserve">Independence</w:t>
            </w:r>
          </w:p>
        </w:tc>
        <w:tc>
          <w:tcPr>
            <w:tcW w:w="4920" w:type="dxa"/>
          </w:tcPr>
          <w:p>
            <w:pPr/>
            <w:r>
              <w:t xml:space="preserve">Sources resting on the same root count as one signal; echoes are labeled</w:t>
            </w:r>
          </w:p>
        </w:tc>
        <w:tc>
          <w:tcPr>
            <w:tcW w:w="2027" w:type="dxa"/>
          </w:tcPr>
          <w:p>
            <w:pPr/>
            <w:r>
              <w:t xml:space="preserve">Evidence librarian</w:t>
            </w:r>
          </w:p>
        </w:tc>
      </w:tr>
      <w:tr>
        <w:tc>
          <w:tcPr>
            <w:tcW w:w="2413" w:type="dxa"/>
          </w:tcPr>
          <w:p>
            <w:pPr/>
            <w:r>
              <w:t xml:space="preserve">Fact versus analysis</w:t>
            </w:r>
          </w:p>
        </w:tc>
        <w:tc>
          <w:tcPr>
            <w:tcW w:w="4920" w:type="dxa"/>
          </w:tcPr>
          <w:p>
            <w:pPr/>
            <w:r>
              <w:t xml:space="preserve">Analysis is labeled as Idealyst's analysis; confidence is stated</w:t>
            </w:r>
          </w:p>
        </w:tc>
        <w:tc>
          <w:tcPr>
            <w:tcW w:w="2027" w:type="dxa"/>
          </w:tcPr>
          <w:p>
            <w:pPr/>
            <w:r>
              <w:t xml:space="preserve">Analyst, style editor</w:t>
            </w:r>
          </w:p>
        </w:tc>
      </w:tr>
      <w:tr>
        <w:tc>
          <w:tcPr>
            <w:tcW w:w="2413" w:type="dxa"/>
          </w:tcPr>
          <w:p>
            <w:pPr/>
            <w:r>
              <w:t xml:space="preserve">Contrary evidence</w:t>
            </w:r>
          </w:p>
        </w:tc>
        <w:tc>
          <w:tcPr>
            <w:tcW w:w="4920" w:type="dxa"/>
          </w:tcPr>
          <w:p>
            <w:pPr/>
            <w:r>
              <w:t xml:space="preserve">The skeptic must attempt to disprove each takeaway and record the result</w:t>
            </w:r>
          </w:p>
        </w:tc>
        <w:tc>
          <w:tcPr>
            <w:tcW w:w="2027" w:type="dxa"/>
          </w:tcPr>
          <w:p>
            <w:pPr/>
            <w:r>
              <w:t xml:space="preserve">Challenge agent</w:t>
            </w:r>
          </w:p>
        </w:tc>
      </w:tr>
      <w:tr>
        <w:tc>
          <w:tcPr>
            <w:tcW w:w="2413" w:type="dxa"/>
          </w:tcPr>
          <w:p>
            <w:pPr/>
            <w:r>
              <w:t xml:space="preserve">Corrections</w:t>
            </w:r>
          </w:p>
        </w:tc>
        <w:tc>
          <w:tcPr>
            <w:tcW w:w="4920" w:type="dxa"/>
          </w:tcPr>
          <w:p>
            <w:pPr/>
            <w:r>
              <w:t xml:space="preserve">Anything overtaken by events is corrected in the text and noted in the change log</w:t>
            </w:r>
          </w:p>
        </w:tc>
        <w:tc>
          <w:tcPr>
            <w:tcW w:w="2027" w:type="dxa"/>
          </w:tcPr>
          <w:p>
            <w:pPr/>
            <w:r>
              <w:t xml:space="preserve">Challenge agent, publisher</w:t>
            </w:r>
          </w:p>
        </w:tc>
      </w:tr>
      <w:tr>
        <w:tc>
          <w:tcPr>
            <w:tcW w:w="2413" w:type="dxa"/>
          </w:tcPr>
          <w:p>
            <w:pPr/>
            <w:r>
              <w:t xml:space="preserve">Quotes and copying</w:t>
            </w:r>
          </w:p>
        </w:tc>
        <w:tc>
          <w:tcPr>
            <w:tcW w:w="4920" w:type="dxa"/>
          </w:tcPr>
          <w:p>
            <w:pPr/>
            <w:r>
              <w:t xml:space="preserve">Sources are paraphrased; any quote is short and attributed</w:t>
            </w:r>
          </w:p>
        </w:tc>
        <w:tc>
          <w:tcPr>
            <w:tcW w:w="2027" w:type="dxa"/>
          </w:tcPr>
          <w:p>
            <w:pPr/>
            <w:r>
              <w:t xml:space="preserve">Fact-checker</w:t>
            </w:r>
          </w:p>
        </w:tc>
      </w:tr>
      <w:tr>
        <w:tc>
          <w:tcPr>
            <w:tcW w:w="2413" w:type="dxa"/>
          </w:tcPr>
          <w:p>
            <w:pPr/>
            <w:r>
              <w:t xml:space="preserve">Human approval</w:t>
            </w:r>
          </w:p>
        </w:tc>
        <w:tc>
          <w:tcPr>
            <w:tcW w:w="4920" w:type="dxa"/>
          </w:tcPr>
          <w:p>
            <w:pPr/>
            <w:r>
              <w:t xml:space="preserve">A named reviewer approves every brief at launch; later, at least every new or re-directed brief</w:t>
            </w:r>
          </w:p>
        </w:tc>
        <w:tc>
          <w:tcPr>
            <w:tcW w:w="2027" w:type="dxa"/>
          </w:tcPr>
          <w:p>
            <w:pPr/>
            <w:r>
              <w:t xml:space="preserve">Human reviewer</w:t>
            </w:r>
          </w:p>
        </w:tc>
      </w:tr>
      <w:tr>
        <w:tc>
          <w:tcPr>
            <w:tcW w:w="2413" w:type="dxa"/>
          </w:tcPr>
          <w:p>
            <w:pPr/>
            <w:r>
              <w:t xml:space="preserve">Versioning</w:t>
            </w:r>
          </w:p>
        </w:tc>
        <w:tc>
          <w:tcPr>
            <w:tcW w:w="4920" w:type="dxa"/>
          </w:tcPr>
          <w:p>
            <w:pPr/>
            <w:r>
              <w:t xml:space="preserve">Each brief carries an as-of date and a change log</w:t>
            </w:r>
          </w:p>
        </w:tc>
        <w:tc>
          <w:tcPr>
            <w:tcW w:w="2027" w:type="dxa"/>
          </w:tcPr>
          <w:p>
            <w:pPr/>
            <w:r>
              <w:t xml:space="preserve">Publisher</w:t>
            </w:r>
          </w:p>
        </w:tc>
      </w:tr>
    </w:tbl>
    <w:p>
      <w:pPr/>
      <w:r>
        <w:rPr>
          <w:b/>
        </w:rPr>
        <w:t xml:space="preserve">Refresh.</w:t>
      </w:r>
      <w:r>
        <w:t xml:space="preserve"> A brief is refreshed in two ways. On schedule, using the cadences set earlier: Global Affluence quarterly; Geopolitics monthly and on major events; Human Health quarterly; Climate Volatility monthly and at seasonal outlook dates; Technology quarterly; Ownership quarterly. And on a confirmed event, meaning a trigger that changes the net direction or overturns a takeaway. A single price move or rule notice does not refresh a brief on its own; it starts a farmer update that reads the brief.</w:t>
      </w:r>
    </w:p>
    <w:p>
      <w:pPr/>
      <w:r>
        <w:rPr>
          <w:b/>
        </w:rPr>
        <w:t xml:space="preserve">Staleness.</w:t>
      </w:r>
      <w:r>
        <w:t xml:space="preserve"> Every farmer update shows the brief's as-of date. If a brief runs past its cadence, the system flags it and updates say the context may be out of date.</w:t>
      </w:r>
    </w:p>
    <w:p>
      <w:pPr>
        <w:pStyle w:val="Heading2"/>
      </w:pPr>
      <w:r>
        <w:t xml:space="preserve">Build in stages and open decisions</w:t>
      </w:r>
    </w:p>
    <w:p>
      <w:pPr/>
      <w:r>
        <w:t xml:space="preserve">Start with one brief written mostly by a person with agents assisting, then hand over a step at a time, so each agent is tested against work already judged good.</w:t>
      </w:r>
    </w:p>
    <w:p>
      <w:pPr>
        <w:pStyle w:val="ListParagraph"/>
        <w:numPr>
          <w:ilvl w:val="0"/>
          <w:numId w:val="6"/>
        </w:numPr>
      </w:pPr>
      <w:r>
        <w:rPr>
          <w:b/>
        </w:rPr>
        <w:t xml:space="preserve">One driver, end to end.</w:t>
      </w:r>
      <w:r>
        <w:t xml:space="preserve"> Pick one driver and write its first brief with agents drafting the evidence and a person writing the judgments.</w:t>
      </w:r>
    </w:p>
    <w:p>
      <w:pPr>
        <w:pStyle w:val="ListParagraph"/>
        <w:numPr>
          <w:ilvl w:val="0"/>
          <w:numId w:val="6"/>
        </w:numPr>
      </w:pPr>
      <w:r>
        <w:rPr>
          <w:b/>
        </w:rPr>
        <w:t xml:space="preserve">Add scouts and the librarian.</w:t>
      </w:r>
      <w:r>
        <w:t xml:space="preserve"> Automate evidence gathering and source tracing, with the person checking every card.</w:t>
      </w:r>
    </w:p>
    <w:p>
      <w:pPr>
        <w:pStyle w:val="ListParagraph"/>
        <w:numPr>
          <w:ilvl w:val="0"/>
          <w:numId w:val="6"/>
        </w:numPr>
      </w:pPr>
      <w:r>
        <w:rPr>
          <w:b/>
        </w:rPr>
        <w:t xml:space="preserve">Add the challenge agent.</w:t>
      </w:r>
      <w:r>
        <w:t xml:space="preserve"> Run the skeptic and fact-checker on the person's draft and measure what they catch.</w:t>
      </w:r>
    </w:p>
    <w:p>
      <w:pPr>
        <w:pStyle w:val="ListParagraph"/>
        <w:numPr>
          <w:ilvl w:val="0"/>
          <w:numId w:val="6"/>
        </w:numPr>
      </w:pPr>
      <w:r>
        <w:rPr>
          <w:b/>
        </w:rPr>
        <w:t xml:space="preserve">Add the analyst and style editor.</w:t>
      </w:r>
      <w:r>
        <w:t xml:space="preserve"> Let agents draft takeaways and direction, with the person approving.</w:t>
      </w:r>
    </w:p>
    <w:p>
      <w:pPr>
        <w:pStyle w:val="ListParagraph"/>
        <w:numPr>
          <w:ilvl w:val="0"/>
          <w:numId w:val="6"/>
        </w:numPr>
      </w:pPr>
      <w:r>
        <w:rPr>
          <w:b/>
        </w:rPr>
        <w:t xml:space="preserve">Add the farm lens and indicator agents,</w:t>
      </w:r>
      <w:r>
        <w:t xml:space="preserve"> and connect indicators to the source registry and the update triggers.</w:t>
      </w:r>
    </w:p>
    <w:p>
      <w:pPr>
        <w:pStyle w:val="ListParagraph"/>
        <w:numPr>
          <w:ilvl w:val="0"/>
          <w:numId w:val="6"/>
        </w:numPr>
      </w:pPr>
      <w:r>
        <w:rPr>
          <w:b/>
        </w:rPr>
        <w:t xml:space="preserve">Automate refresh,</w:t>
      </w:r>
      <w:r>
        <w:t xml:space="preserve"> then extend to the other five drivers.</w:t>
      </w:r>
    </w:p>
    <w:p>
      <w:pPr/>
      <w:r>
        <w:rPr>
          <w:b/>
        </w:rPr>
        <w:t xml:space="preserve">Open decisions</w:t>
      </w:r>
    </w:p>
    <w:p>
      <w:pPr>
        <w:pStyle w:val="ListParagraph"/>
        <w:numPr>
          <w:ilvl w:val="0"/>
          <w:numId w:val="7"/>
        </w:numPr>
      </w:pPr>
      <w:r>
        <w:t xml:space="preserve">☐ Confirm the direction labels (accelerating, intact, diverging, mixed) or add new ones</w:t>
      </w:r>
    </w:p>
    <w:p>
      <w:pPr>
        <w:pStyle w:val="ListParagraph"/>
        <w:numPr>
          <w:ilvl w:val="0"/>
          <w:numId w:val="7"/>
        </w:numPr>
      </w:pPr>
      <w:r>
        <w:t xml:space="preserve">☐ Name a reviewer for each driver</w:t>
      </w:r>
    </w:p>
    <w:p>
      <w:pPr>
        <w:pStyle w:val="ListParagraph"/>
        <w:numPr>
          <w:ilvl w:val="0"/>
          <w:numId w:val="7"/>
        </w:numPr>
      </w:pPr>
      <w:r>
        <w:t xml:space="preserve">☐ Choose the first driver to build</w:t>
      </w:r>
    </w:p>
    <w:p>
      <w:pPr>
        <w:pStyle w:val="ListParagraph"/>
        <w:numPr>
          <w:ilvl w:val="0"/>
          <w:numId w:val="7"/>
        </w:numPr>
      </w:pPr>
      <w:r>
        <w:t xml:space="preserve">☐ Decide how briefs and the full Future State Report stay in step between editions, and which one is the source of record</w:t>
      </w:r>
    </w:p>
    <w:p>
      <w:pPr>
        <w:pStyle w:val="ListParagraph"/>
        <w:numPr>
          <w:ilvl w:val="0"/>
          <w:numId w:val="7"/>
        </w:numPr>
      </w:pPr>
      <w:r>
        <w:t xml:space="preserve">☐ Decide how AC-5 and ID-5, both working drafts, are labeled and used until they are final</w:t>
      </w:r>
    </w:p>
    <w:p>
      <w:pPr>
        <w:pStyle w:val="ListParagraph"/>
        <w:numPr>
          <w:ilvl w:val="0"/>
          <w:numId w:val="7"/>
        </w:numPr>
      </w:pPr>
      <w:r>
        <w:t xml:space="preserve">☐ Set the brief word budget and which sections are required for every driver</w:t>
      </w:r>
    </w:p>
    <w:p>
      <w:pPr>
        <w:pStyle w:val="ListParagraph"/>
        <w:numPr>
          <w:ilvl w:val="0"/>
          <w:numId w:val="7"/>
        </w:numPr>
      </w:pPr>
      <w:r>
        <w:t xml:space="preserve">☐ Confirm which sources the scouts may use and any license limits</w:t>
      </w:r>
    </w:p>
    <w:p>
      <w:pPr/>
      <w:r>
        <w:rPr>
          <w:b/>
        </w:rPr>
        <w:t xml:space="preserve">Related work:</w:t>
      </w:r>
      <w:r>
        <w:t xml:space="preserve"> the </w:t>
      </w:r>
      <w:hyperlink r:id="rId4" w:history="1">
        <w:r>
          <w:rPr>
            <w:rStyle w:val="Hyperlink"/>
          </w:rPr>
          <w:t xml:space="preserve">MFP Farm Intelligence design doc</w:t>
        </w:r>
      </w:hyperlink>
      <w:r>
        <w:t xml:space="preserve"> explains where the briefs sit in the full system, and the source registry spreadsheet holds the sources the scouts draw 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laude.ai/code/artifact/bf92ab2e-0fa5-4861-8358-a08e5818cea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Driver Briefs The Thinking and the Agent Team</dc:title>
  <dc:description>Claude Docs node/3d133dd4-1af5@22 docx-w7</dc:description>
  <cp:revision>22</cp:revision>
</cp:coreProperties>
</file>