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MFP Farm Intelligence: How It Thinks and How to Build It</w:t>
      </w:r>
    </w:p>
    <w:p>
      <w:pPr/>
      <w:r>
        <w:t xml:space="preserve">Oct 15, 2026</w:t>
      </w:r>
      <w:r>
        <w:t xml:space="preserve"> · </w:t>
      </w:r>
      <w:r>
        <w:t xml:space="preserve">@Chimdi Chewka</w:t>
      </w:r>
    </w:p>
    <w:p>
      <w:pPr>
        <w:pStyle w:val="Heading2"/>
      </w:pPr>
      <w:r>
        <w:t xml:space="preserve">Purpose and outcomes</w:t>
      </w:r>
    </w:p>
    <w:p>
      <w:pPr/>
      <w:r>
        <w:t xml:space="preserve">Most family farms are working toward one ultimate goal: building a legacy and passing a healthy operation to the next generation. MFP intelligence gives each farmer short, timely updates that explain what a change means for their own farm and show how it affects the three things that make a legacy possible: growing net operating income (NOI), diversifying revenue, and raising efficiency, each tied to the MFP actions that support it. This document explains the thinking so the dev team can build the agents and process around it.</w:t>
      </w:r>
    </w:p>
    <w:p>
      <w:pPr/>
      <w:r>
        <w:t xml:space="preserve">It draws on three MFP materials: a sample SWOT report (Tveidt Farms), the action-planning approach (priority scores and rules), and the Diversification Opportunities reference sheet (29 paths in 9 clusters).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Outcome</w:t>
            </w:r>
          </w:p>
        </w:tc>
        <w:tc>
          <w:tcPr>
            <w:tcW w:w="4920" w:type="dxa"/>
            <w:shd w:val="clear" w:color="auto" w:fill="F2F2F2"/>
          </w:tcPr>
          <w:p>
            <w:pPr/>
            <w:r>
              <w:t xml:space="preserve">What an update should help the farmer see</w:t>
            </w:r>
          </w:p>
        </w:tc>
      </w:tr>
      <w:tr>
        <w:tc>
          <w:tcPr>
            <w:tcW w:w="4440" w:type="dxa"/>
          </w:tcPr>
          <w:p>
            <w:pPr/>
            <w:r>
              <w:t xml:space="preserve">Build and pass on a legacy (the ultimate aim)</w:t>
            </w:r>
          </w:p>
        </w:tc>
        <w:tc>
          <w:tcPr>
            <w:tcW w:w="4920" w:type="dxa"/>
          </w:tcPr>
          <w:p>
            <w:pPr/>
            <w:r>
              <w:t xml:space="preserve">Whether a change helps or hurts the farm's ability to stay in the family: the financial strength to transfer, a business the next generation can run and wants, and the readiness of people and plans. The three outcomes below are the means to this one.</w:t>
            </w:r>
          </w:p>
        </w:tc>
      </w:tr>
      <w:tr>
        <w:tc>
          <w:tcPr>
            <w:tcW w:w="4440" w:type="dxa"/>
          </w:tcPr>
          <w:p>
            <w:pPr/>
            <w:r>
              <w:t xml:space="preserve">Grow NOI</w:t>
            </w:r>
          </w:p>
        </w:tc>
        <w:tc>
          <w:tcPr>
            <w:tcW w:w="4920" w:type="dxa"/>
          </w:tcPr>
          <w:p>
            <w:pPr/>
            <w:r>
              <w:t xml:space="preserve">How a price, cost, policy, or credit change moves margin and cash across the whole farm, now and over several years</w:t>
            </w:r>
          </w:p>
        </w:tc>
      </w:tr>
      <w:tr>
        <w:tc>
          <w:tcPr>
            <w:tcW w:w="4440" w:type="dxa"/>
          </w:tcPr>
          <w:p>
            <w:pPr/>
            <w:r>
              <w:t xml:space="preserve">Diversify revenue in production</w:t>
            </w:r>
          </w:p>
        </w:tc>
        <w:tc>
          <w:tcPr>
            <w:tcW w:w="4920" w:type="dxa"/>
          </w:tcPr>
          <w:p>
            <w:pPr/>
            <w:r>
              <w:t xml:space="preserve">Signals that make adding or changing what the farm grows or raises more or less attractive (on-farm production, livestock ventures, value-added processing)</w:t>
            </w:r>
          </w:p>
        </w:tc>
      </w:tr>
      <w:tr>
        <w:tc>
          <w:tcPr>
            <w:tcW w:w="4440" w:type="dxa"/>
          </w:tcPr>
          <w:p>
            <w:pPr/>
            <w:r>
              <w:t xml:space="preserve">Diversify revenue outside production</w:t>
            </w:r>
          </w:p>
        </w:tc>
        <w:tc>
          <w:tcPr>
            <w:tcW w:w="4920" w:type="dxa"/>
          </w:tcPr>
          <w:p>
            <w:pPr/>
            <w:r>
              <w:t xml:space="preserve">Signals that open or close paths such as custom services, trucking, energy and conservation income, space and agritourism, data and knowledge services, and capital deployment</w:t>
            </w:r>
          </w:p>
        </w:tc>
      </w:tr>
      <w:tr>
        <w:tc>
          <w:tcPr>
            <w:tcW w:w="4440" w:type="dxa"/>
          </w:tcPr>
          <w:p>
            <w:pPr/>
            <w:r>
              <w:t xml:space="preserve">Raise efficiency</w:t>
            </w:r>
          </w:p>
        </w:tc>
        <w:tc>
          <w:tcPr>
            <w:tcW w:w="4920" w:type="dxa"/>
          </w:tcPr>
          <w:p>
            <w:pPr/>
            <w:r>
              <w:t xml:space="preserve">Input, technology, and cost signals that change cost per unit or the return on a planned investment</w:t>
            </w:r>
          </w:p>
        </w:tc>
      </w:tr>
    </w:tbl>
    <w:p>
      <w:pPr/>
      <w:r>
        <w:t xml:space="preserve">The intelligence supports decisions; it does not replace judgment and does not give financial advice.</w:t>
      </w:r>
    </w:p>
    <w:p>
      <w:pPr>
        <w:pStyle w:val="Heading2"/>
      </w:pPr>
      <w:r>
        <w:t xml:space="preserve">Design principles</w:t>
      </w:r>
    </w:p>
    <w:p>
      <w:pPr/>
      <w:r>
        <w:t xml:space="preserve">Nine rules shape every build decision. When a design question comes up, the earlier rules win.</w:t>
      </w:r>
    </w:p>
    <w:p>
      <w:pPr>
        <w:pStyle w:val="ListParagraph"/>
        <w:numPr>
          <w:ilvl w:val="0"/>
          <w:numId w:val="2"/>
        </w:numPr>
      </w:pPr>
      <w:r>
        <w:rPr>
          <w:b/>
        </w:rPr>
        <w:t xml:space="preserve">Start from the farm's strategic lens, not the news.</w:t>
      </w:r>
      <w:r>
        <w:t xml:space="preserve"> The strategic lens (profile, operation, goals, and MFP results when available) decides which changes matter and how they are framed. The lens includes the farm's legacy intent, because most family farms are working toward passing the operation on, and every update is judged against that.</w:t>
      </w:r>
    </w:p>
    <w:p>
      <w:pPr>
        <w:pStyle w:val="ListParagraph"/>
        <w:numPr>
          <w:ilvl w:val="0"/>
          <w:numId w:val="2"/>
        </w:numPr>
      </w:pPr>
      <w:r>
        <w:rPr>
          <w:b/>
        </w:rPr>
        <w:t xml:space="preserve">Context before data.</w:t>
      </w:r>
      <w:r>
        <w:t xml:space="preserve"> Maintain a synthesized "lay of the land" for each major driver. An update adds the new number to that context instead of presenting a number alone.</w:t>
      </w:r>
    </w:p>
    <w:p>
      <w:pPr>
        <w:pStyle w:val="ListParagraph"/>
        <w:numPr>
          <w:ilvl w:val="0"/>
          <w:numId w:val="2"/>
        </w:numPr>
      </w:pPr>
      <w:r>
        <w:rPr>
          <w:b/>
        </w:rPr>
        <w:t xml:space="preserve">Synthesized first, primary last.</w:t>
      </w:r>
      <w:r>
        <w:t xml:space="preserve"> Use driver briefs and curated syntheses first. Go to the full primary database only to fill a gap or verify a number that matters.</w:t>
      </w:r>
    </w:p>
    <w:p>
      <w:pPr>
        <w:pStyle w:val="ListParagraph"/>
        <w:numPr>
          <w:ilvl w:val="0"/>
          <w:numId w:val="2"/>
        </w:numPr>
      </w:pPr>
      <w:r>
        <w:rPr>
          <w:b/>
        </w:rPr>
        <w:t xml:space="preserve">Fetch on demand.</w:t>
      </w:r>
      <w:r>
        <w:t xml:space="preserve"> Do not hold large datasets. Keep small records (profiles, briefs, rules, update history) and pull data when a trigger fires.</w:t>
      </w:r>
    </w:p>
    <w:p>
      <w:pPr>
        <w:pStyle w:val="ListParagraph"/>
        <w:numPr>
          <w:ilvl w:val="0"/>
          <w:numId w:val="2"/>
        </w:numPr>
      </w:pPr>
      <w:r>
        <w:rPr>
          <w:b/>
        </w:rPr>
        <w:t xml:space="preserve">Whole farm before enterprise.</w:t>
      </w:r>
      <w:r>
        <w:t xml:space="preserve"> Judge the effect on NOI, cash, and risk across all enterprises first, then on each enterprise. This matches the MFP priority logic, which fixes foundations before chasing value.</w:t>
      </w:r>
    </w:p>
    <w:p>
      <w:pPr>
        <w:pStyle w:val="ListParagraph"/>
        <w:numPr>
          <w:ilvl w:val="0"/>
          <w:numId w:val="2"/>
        </w:numPr>
      </w:pPr>
      <w:r>
        <w:rPr>
          <w:b/>
        </w:rPr>
        <w:t xml:space="preserve">Two horizons every time.</w:t>
      </w:r>
      <w:r>
        <w:t xml:space="preserve"> State the near-term effect (next one to two seasons) and the longer-term effect (three to ten years). A price move can be a squeeze now and a shift later.</w:t>
      </w:r>
    </w:p>
    <w:p>
      <w:pPr>
        <w:pStyle w:val="ListParagraph"/>
        <w:numPr>
          <w:ilvl w:val="0"/>
          <w:numId w:val="2"/>
        </w:numPr>
      </w:pPr>
      <w:r>
        <w:rPr>
          <w:b/>
        </w:rPr>
        <w:t xml:space="preserve">Show confidence and provenance.</w:t>
      </w:r>
      <w:r>
        <w:t xml:space="preserve"> Every claim carries its source, date, and a confidence label, and says whether sources are independent.</w:t>
      </w:r>
    </w:p>
    <w:p>
      <w:pPr>
        <w:pStyle w:val="ListParagraph"/>
        <w:numPr>
          <w:ilvl w:val="0"/>
          <w:numId w:val="2"/>
        </w:numPr>
      </w:pPr>
      <w:r>
        <w:rPr>
          <w:b/>
        </w:rPr>
        <w:t xml:space="preserve">Inform, do not advise.</w:t>
      </w:r>
      <w:r>
        <w:t xml:space="preserve"> Tie each update to an MFP action or a diversification path and end with a question or a check. No buy, sell, or investment instructions.</w:t>
      </w:r>
    </w:p>
    <w:p>
      <w:pPr>
        <w:pStyle w:val="ListParagraph"/>
        <w:numPr>
          <w:ilvl w:val="0"/>
          <w:numId w:val="2"/>
        </w:numPr>
      </w:pPr>
      <w:r>
        <w:rPr>
          <w:b/>
        </w:rPr>
        <w:t xml:space="preserve">Fewer, better updates.</w:t>
      </w:r>
      <w:r>
        <w:t xml:space="preserve"> Send only what clears a relevance bar and stays inside a weekly budget. A farmer who stops reading gets no value.</w:t>
      </w:r>
    </w:p>
    <w:p>
      <w:pPr>
        <w:pStyle w:val="Heading2"/>
      </w:pPr>
      <w:r>
        <w:t xml:space="preserve">Two layers: slow drivers and fast triggers</w:t>
      </w:r>
    </w:p>
    <w:p>
      <w:pPr/>
      <w:r>
        <w:t xml:space="preserve">The system separates what changes slowly from what changes fast, and joins them in every update. Drivers give the long-term backdrop; triggers start the updates, and each trigger carries both a near-term and a longer-term impact.</w:t>
      </w:r>
    </w:p>
    <w:tbl>
      <w:tblPr>
        <w:tblStyle w:val="TableGrid"/>
        <w:tblW w:w="0" w:type="auto"/>
        <w:tblLayout w:type="fixed"/>
        <w:tblLook w:val="04A0" w:firstRow="1" w:lastRow="0" w:firstColumn="0" w:lastColumn="0" w:noHBand="0" w:noVBand="1"/>
      </w:tblPr>
      <w:tblGrid>
        <w:gridCol w:w="1107"/>
        <w:gridCol w:w="4217"/>
        <w:gridCol w:w="1273"/>
        <w:gridCol w:w="2762"/>
      </w:tblGrid>
      <w:tr>
        <w:trPr>
          <w:tblHeader/>
        </w:trPr>
        <w:tc>
          <w:tcPr>
            <w:tcW w:w="1107" w:type="dxa"/>
            <w:shd w:val="clear" w:color="auto" w:fill="F2F2F2"/>
          </w:tcPr>
          <w:p>
            <w:pPr/>
            <w:r>
              <w:t xml:space="preserve">Layer</w:t>
            </w:r>
          </w:p>
        </w:tc>
        <w:tc>
          <w:tcPr>
            <w:tcW w:w="4217" w:type="dxa"/>
            <w:shd w:val="clear" w:color="auto" w:fill="F2F2F2"/>
          </w:tcPr>
          <w:p>
            <w:pPr/>
            <w:r>
              <w:t xml:space="preserve">What it holds</w:t>
            </w:r>
          </w:p>
        </w:tc>
        <w:tc>
          <w:tcPr>
            <w:tcW w:w="1273" w:type="dxa"/>
            <w:shd w:val="clear" w:color="auto" w:fill="F2F2F2"/>
          </w:tcPr>
          <w:p>
            <w:pPr/>
            <w:r>
              <w:t xml:space="preserve">How fast it changes</w:t>
            </w:r>
          </w:p>
        </w:tc>
        <w:tc>
          <w:tcPr>
            <w:tcW w:w="2762" w:type="dxa"/>
            <w:shd w:val="clear" w:color="auto" w:fill="F2F2F2"/>
          </w:tcPr>
          <w:p>
            <w:pPr/>
            <w:r>
              <w:t xml:space="preserve">Role in an update</w:t>
            </w:r>
          </w:p>
        </w:tc>
      </w:tr>
      <w:tr>
        <w:tc>
          <w:tcPr>
            <w:tcW w:w="1107" w:type="dxa"/>
          </w:tcPr>
          <w:p>
            <w:pPr/>
            <w:r>
              <w:t xml:space="preserve">Drivers</w:t>
            </w:r>
          </w:p>
        </w:tc>
        <w:tc>
          <w:tcPr>
            <w:tcW w:w="4217" w:type="dxa"/>
          </w:tcPr>
          <w:p>
            <w:pPr/>
            <w:r>
              <w:t xml:space="preserve">Six larger forces: Global Affluence, Geopolitics, Human Health, Climate Volatility, Technology, Ownership</w:t>
            </w:r>
          </w:p>
        </w:tc>
        <w:tc>
          <w:tcPr>
            <w:tcW w:w="1273" w:type="dxa"/>
          </w:tcPr>
          <w:p>
            <w:pPr/>
            <w:r>
              <w:t xml:space="preserve">Slowly, over quarters to years</w:t>
            </w:r>
          </w:p>
        </w:tc>
        <w:tc>
          <w:tcPr>
            <w:tcW w:w="2762" w:type="dxa"/>
          </w:tcPr>
          <w:p>
            <w:pPr/>
            <w:r>
              <w:t xml:space="preserve">Maintained as driver briefs on a schedule; supply the lay of the land and the long-term context</w:t>
            </w:r>
          </w:p>
        </w:tc>
      </w:tr>
      <w:tr>
        <w:tc>
          <w:tcPr>
            <w:tcW w:w="1107" w:type="dxa"/>
          </w:tcPr>
          <w:p>
            <w:pPr/>
            <w:r>
              <w:t xml:space="preserve">Triggers</w:t>
            </w:r>
          </w:p>
        </w:tc>
        <w:tc>
          <w:tcPr>
            <w:tcW w:w="4217" w:type="dxa"/>
          </w:tcPr>
          <w:p>
            <w:pPr/>
            <w:r>
              <w:t xml:space="preserve">Dynamic changes: price and market, input cost, policy and regulation, trade actions, weather, disease, credit, technology and structure, land, diversification-path viability, MFP events</w:t>
            </w:r>
          </w:p>
        </w:tc>
        <w:tc>
          <w:tcPr>
            <w:tcW w:w="1273" w:type="dxa"/>
          </w:tcPr>
          <w:p>
            <w:pPr/>
            <w:r>
              <w:t xml:space="preserve">Quickly, over hours to weeks</w:t>
            </w:r>
          </w:p>
        </w:tc>
        <w:tc>
          <w:tcPr>
            <w:tcW w:w="2762" w:type="dxa"/>
          </w:tcPr>
          <w:p>
            <w:pPr/>
            <w:r>
              <w:t xml:space="preserve">Start an update; each one is assessed for its near-term and its longer-term impact</w:t>
            </w:r>
          </w:p>
        </w:tc>
      </w:tr>
    </w:tbl>
    <w:p>
      <w:pPr/>
      <w:r>
        <w:t xml:space="preserve">Policy and regulation sits in the trigger layer, not the driver layer, because of how fast it moves. A policy trigger still draws on the driver briefs for its long-term context: the briefs hold the slower policy backdrop, and the trigger says what has just changed.</w:t>
      </w:r>
    </w:p>
    <w:p>
      <w:pPr>
        <w:pStyle w:val="Heading2"/>
      </w:pPr>
      <w:r>
        <w:t xml:space="preserve">System at a glance</w:t>
      </w:r>
    </w:p>
    <w:p>
      <w:pPr/>
      <w:r>
        <w:drawing>
          <wp:inline distT="0" distB="0" distL="0" distR="0">
            <wp:extent cx="5486400" cy="3086100"/>
            <wp:docPr id="1" name="image1" descr="system at a glance · stored context, trigger flow, and backup database"/>
            <a:graphic xmlns:a="http://schemas.openxmlformats.org/drawingml/2006/main">
              <a:graphicData uri="http://schemas.openxmlformats.org/drawingml/2006/picture">
                <pic:pic xmlns:pic="http://schemas.openxmlformats.org/drawingml/2006/picture">
                  <pic:nvPicPr>
                    <pic:cNvPr id="1" name="image1" descr="system at a glance · stored context, trigger flow, and backup database"/>
                    <pic:cNvPicPr/>
                  </pic:nvPicPr>
                  <pic:blipFill>
                    <a:blip r:embed="rId3"/>
                    <a:stretch>
                      <a:fillRect/>
                    </a:stretch>
                  </pic:blipFill>
                  <pic:spPr>
                    <a:xfrm>
                      <a:off x="0" y="0"/>
                      <a:ext cx="5486400" cy="3086100"/>
                    </a:xfrm>
                    <a:prstGeom prst="rect">
                      <a:avLst/>
                    </a:prstGeom>
                  </pic:spPr>
                </pic:pic>
              </a:graphicData>
            </a:graphic>
          </wp:inline>
        </w:drawing>
      </w:r>
    </w:p>
    <w:p>
      <w:pPr/>
      <w:r>
        <w:t xml:space="preserve">system at a glance · stored context, trigger flow, and backup database</w:t>
      </w:r>
    </w:p>
    <w:p>
      <w:pPr/>
      <w:r>
        <w:t xml:space="preserve">The top row is the small stored context. A trigger monitor starts each update, retrieval pulls only what is needed, and the primary database is used only as backup or to verify.</w:t>
      </w:r>
    </w:p>
    <w:p>
      <w:pPr>
        <w:pStyle w:val="Heading2"/>
      </w:pPr>
      <w:r>
        <w:t xml:space="preserve">The strategic lens</w:t>
      </w:r>
    </w:p>
    <w:p>
      <w:pPr/>
      <w:r>
        <w:t xml:space="preserve">The strategic lens is the one record that describes a farm to the intelligence. It replaces the separate MFP profile and plan as the thing the agents read. Every trigger is matched, weighed, and framed through it. It is built in three layers, and the third exists only for farms that have completed MFP.</w:t>
      </w:r>
    </w:p>
    <w:tbl>
      <w:tblPr>
        <w:tblStyle w:val="TableGrid"/>
        <w:tblW w:w="0" w:type="auto"/>
        <w:tblLayout w:type="fixed"/>
        <w:tblLook w:val="04A0" w:firstRow="1" w:lastRow="0" w:firstColumn="0" w:lastColumn="0" w:noHBand="0" w:noVBand="1"/>
      </w:tblPr>
      <w:tblGrid>
        <w:gridCol w:w="2113"/>
        <w:gridCol w:w="4920"/>
        <w:gridCol w:w="2327"/>
      </w:tblGrid>
      <w:tr>
        <w:trPr>
          <w:tblHeader/>
        </w:trPr>
        <w:tc>
          <w:tcPr>
            <w:tcW w:w="2113" w:type="dxa"/>
            <w:shd w:val="clear" w:color="auto" w:fill="F2F2F2"/>
          </w:tcPr>
          <w:p>
            <w:pPr/>
            <w:r>
              <w:t xml:space="preserve">Layer</w:t>
            </w:r>
          </w:p>
        </w:tc>
        <w:tc>
          <w:tcPr>
            <w:tcW w:w="4920" w:type="dxa"/>
            <w:shd w:val="clear" w:color="auto" w:fill="F2F2F2"/>
          </w:tcPr>
          <w:p>
            <w:pPr/>
            <w:r>
              <w:t xml:space="preserve">What it holds</w:t>
            </w:r>
          </w:p>
        </w:tc>
        <w:tc>
          <w:tcPr>
            <w:tcW w:w="2327" w:type="dxa"/>
            <w:shd w:val="clear" w:color="auto" w:fill="F2F2F2"/>
          </w:tcPr>
          <w:p>
            <w:pPr/>
            <w:r>
              <w:t xml:space="preserve">Which farms have it</w:t>
            </w:r>
          </w:p>
        </w:tc>
      </w:tr>
      <w:tr>
        <w:tc>
          <w:tcPr>
            <w:tcW w:w="2113" w:type="dxa"/>
          </w:tcPr>
          <w:p>
            <w:pPr/>
            <w:r>
              <w:t xml:space="preserve">1. Core profile</w:t>
            </w:r>
          </w:p>
        </w:tc>
        <w:tc>
          <w:tcPr>
            <w:tcW w:w="4920" w:type="dxa"/>
          </w:tcPr>
          <w:p>
            <w:pPr/>
            <w:r>
              <w:t xml:space="preserve">Location (state and county), size, enterprises and the share of income each drives, revenue diversification mix (in production and outside production), near-term goals (1 to 3 years), long-term goals, key competitive advantage, core values, land tenure (owned and rented), debt and financial health where known, and legacy intent (whether the farm plans to pass on, who is involved, target timing, and the readiness of the succession plan)</w:t>
            </w:r>
          </w:p>
        </w:tc>
        <w:tc>
          <w:tcPr>
            <w:tcW w:w="2327" w:type="dxa"/>
          </w:tcPr>
          <w:p>
            <w:pPr/>
            <w:r>
              <w:t xml:space="preserve">Every farm</w:t>
            </w:r>
          </w:p>
        </w:tc>
      </w:tr>
      <w:tr>
        <w:tc>
          <w:tcPr>
            <w:tcW w:w="2113" w:type="dxa"/>
          </w:tcPr>
          <w:p>
            <w:pPr/>
            <w:r>
              <w:t xml:space="preserve">2. Operation characteristics</w:t>
            </w:r>
          </w:p>
        </w:tc>
        <w:tc>
          <w:tcPr>
            <w:tcW w:w="4920" w:type="dxa"/>
          </w:tcPr>
          <w:p>
            <w:pPr/>
            <w:r>
              <w:t xml:space="preserve">Soil type and quality, water and irrigation, climate zone and growing season, crop acreage and livestock inventory, buyers and contracts, marketing approach, storage, equipment and labor, certifications, distance to markets and processors</w:t>
            </w:r>
          </w:p>
        </w:tc>
        <w:tc>
          <w:tcPr>
            <w:tcW w:w="2327" w:type="dxa"/>
          </w:tcPr>
          <w:p>
            <w:pPr/>
            <w:r>
              <w:t xml:space="preserve">Every farm</w:t>
            </w:r>
          </w:p>
        </w:tc>
      </w:tr>
      <w:tr>
        <w:tc>
          <w:tcPr>
            <w:tcW w:w="2113" w:type="dxa"/>
          </w:tcPr>
          <w:p>
            <w:pPr/>
            <w:r>
              <w:t xml:space="preserve">3. MFP results</w:t>
            </w:r>
          </w:p>
        </w:tc>
        <w:tc>
          <w:tcPr>
            <w:tcW w:w="4920" w:type="dxa"/>
          </w:tcPr>
          <w:p>
            <w:pPr/>
            <w:r>
              <w:t xml:space="preserve">Dimension scores (0 to 5) and category scores, priority score and top three focus areas, SWOT with related dimension, horizon, and confidence, action plan with owners and timelines, financial health ratios, and the approved Strategic Vision statement and rules if the farm completed that module</w:t>
            </w:r>
          </w:p>
        </w:tc>
        <w:tc>
          <w:tcPr>
            <w:tcW w:w="2327" w:type="dxa"/>
          </w:tcPr>
          <w:p>
            <w:pPr/>
            <w:r>
              <w:t xml:space="preserve">Farms that completed MFP</w:t>
            </w:r>
          </w:p>
        </w:tc>
      </w:tr>
    </w:tbl>
    <w:p>
      <w:pPr/>
      <w:r>
        <w:t xml:space="preserve">The lens also carries a </w:t>
      </w:r>
      <w:r>
        <w:rPr>
          <w:b/>
        </w:rPr>
        <w:t xml:space="preserve">strategy status</w:t>
      </w:r>
      <w:r>
        <w:t xml:space="preserve">, computed from what it holds:</w:t>
      </w:r>
    </w:p>
    <w:p>
      <w:pPr>
        <w:pStyle w:val="ListParagraph"/>
        <w:numPr>
          <w:ilvl w:val="0"/>
          <w:numId w:val="3"/>
        </w:numPr>
      </w:pPr>
      <w:r>
        <w:rPr>
          <w:b/>
        </w:rPr>
        <w:t xml:space="preserve">Operator-authored:</w:t>
      </w:r>
      <w:r>
        <w:t xml:space="preserve"> the farm completed the Strategic Vision module, so its approved statement and rules are used as written.</w:t>
      </w:r>
    </w:p>
    <w:p>
      <w:pPr>
        <w:pStyle w:val="ListParagraph"/>
        <w:numPr>
          <w:ilvl w:val="0"/>
          <w:numId w:val="3"/>
        </w:numPr>
      </w:pPr>
      <w:r>
        <w:rPr>
          <w:b/>
        </w:rPr>
        <w:t xml:space="preserve">Assembled draft:</w:t>
      </w:r>
      <w:r>
        <w:t xml:space="preserve"> built from the goals, advantage, and values the farm stated, quoting its words, labeled "draft, not tested," and confirmed by the farmer.</w:t>
      </w:r>
    </w:p>
    <w:p>
      <w:pPr>
        <w:pStyle w:val="ListParagraph"/>
        <w:numPr>
          <w:ilvl w:val="0"/>
          <w:numId w:val="3"/>
        </w:numPr>
      </w:pPr>
      <w:r>
        <w:rPr>
          <w:b/>
        </w:rPr>
        <w:t xml:space="preserve">Not enough to build:</w:t>
      </w:r>
      <w:r>
        <w:t xml:space="preserve"> the stated fields are empty or generic, so updates stay general and point to the Strategic Vision action when the farm has an MFP plan.</w:t>
      </w:r>
    </w:p>
    <w:p>
      <w:pPr/>
      <w:r>
        <w:rPr>
          <w:b/>
        </w:rPr>
        <w:t xml:space="preserve">How the lens is built</w:t>
      </w:r>
    </w:p>
    <w:p>
      <w:pPr>
        <w:pStyle w:val="ListParagraph"/>
        <w:numPr>
          <w:ilvl w:val="0"/>
          <w:numId w:val="4"/>
        </w:numPr>
      </w:pPr>
      <w:r>
        <w:t xml:space="preserve">Short, adaptive onboarding questions fill layers 1 and 2 for any farm.</w:t>
      </w:r>
    </w:p>
    <w:p>
      <w:pPr>
        <w:pStyle w:val="ListParagraph"/>
        <w:numPr>
          <w:ilvl w:val="0"/>
          <w:numId w:val="4"/>
        </w:numPr>
      </w:pPr>
      <w:r>
        <w:t xml:space="preserve">For MFP farms, the profile answers and MFP results are imported, not asked again.</w:t>
      </w:r>
    </w:p>
    <w:p>
      <w:pPr>
        <w:pStyle w:val="ListParagraph"/>
        <w:numPr>
          <w:ilvl w:val="0"/>
          <w:numId w:val="4"/>
        </w:numPr>
      </w:pPr>
      <w:r>
        <w:t xml:space="preserve">Where public data can prefill a field (for example soil type from a public soil survey by location), the agent proposes it and the farmer confirms.</w:t>
      </w:r>
    </w:p>
    <w:p>
      <w:pPr>
        <w:pStyle w:val="ListParagraph"/>
        <w:numPr>
          <w:ilvl w:val="0"/>
          <w:numId w:val="4"/>
        </w:numPr>
      </w:pPr>
      <w:r>
        <w:t xml:space="preserve">The Lens Agent assembles the record, the farmer reviews it, and each change is versioned.</w:t>
      </w:r>
    </w:p>
    <w:p>
      <w:pPr/>
      <w:r>
        <w:rPr>
          <w:b/>
        </w:rPr>
        <w:t xml:space="preserve">How the lens is used</w:t>
      </w:r>
    </w:p>
    <w:p>
      <w:pPr>
        <w:pStyle w:val="ListParagraph"/>
        <w:numPr>
          <w:ilvl w:val="0"/>
          <w:numId w:val="5"/>
        </w:numPr>
      </w:pPr>
      <w:r>
        <w:rPr>
          <w:b/>
        </w:rPr>
        <w:t xml:space="preserve">Relevance:</w:t>
      </w:r>
      <w:r>
        <w:t xml:space="preserve"> exposure comes from enterprises and income shares; priority weight comes from the farm's goals and, when MFP is complete, its priority areas.</w:t>
      </w:r>
    </w:p>
    <w:p>
      <w:pPr>
        <w:pStyle w:val="ListParagraph"/>
        <w:numPr>
          <w:ilvl w:val="0"/>
          <w:numId w:val="5"/>
        </w:numPr>
      </w:pPr>
      <w:r>
        <w:rPr>
          <w:b/>
        </w:rPr>
        <w:t xml:space="preserve">Source selection:</w:t>
      </w:r>
      <w:r>
        <w:t xml:space="preserve"> location and operation characteristics choose weather, soil, regional price, and state policy sources.</w:t>
      </w:r>
    </w:p>
    <w:p>
      <w:pPr>
        <w:pStyle w:val="ListParagraph"/>
        <w:numPr>
          <w:ilvl w:val="0"/>
          <w:numId w:val="5"/>
        </w:numPr>
      </w:pPr>
      <w:r>
        <w:rPr>
          <w:b/>
        </w:rPr>
        <w:t xml:space="preserve">Whole-farm check and fit:</w:t>
      </w:r>
      <w:r>
        <w:t xml:space="preserve"> enterprises, goals, values, any stated rules, and legacy intent set what the update must weigh, including whether the change strengthens or weakens the farm's ability to be passed on.</w:t>
      </w:r>
    </w:p>
    <w:p>
      <w:pPr>
        <w:pStyle w:val="ListParagraph"/>
        <w:numPr>
          <w:ilvl w:val="0"/>
          <w:numId w:val="5"/>
        </w:numPr>
      </w:pPr>
      <w:r>
        <w:rPr>
          <w:b/>
        </w:rPr>
        <w:t xml:space="preserve">Framing:</w:t>
      </w:r>
      <w:r>
        <w:t xml:space="preserve"> near-term and longer-term impacts are stated against the farm's own goals, in its own words.</w:t>
      </w:r>
    </w:p>
    <w:p>
      <w:pPr>
        <w:pStyle w:val="ListParagraph"/>
        <w:numPr>
          <w:ilvl w:val="0"/>
          <w:numId w:val="5"/>
        </w:numPr>
      </w:pPr>
      <w:r>
        <w:rPr>
          <w:b/>
        </w:rPr>
        <w:t xml:space="preserve">MFP link:</w:t>
      </w:r>
      <w:r>
        <w:t xml:space="preserve"> for MFP farms, updates name the action or priority area they support; for others, they point to MFP as a next step.</w:t>
      </w:r>
    </w:p>
    <w:p>
      <w:pPr/>
      <w:r>
        <w:rPr>
          <w:b/>
        </w:rPr>
        <w:t xml:space="preserve">Rules for the strategy statement</w:t>
      </w:r>
    </w:p>
    <w:p>
      <w:pPr>
        <w:pStyle w:val="ListParagraph"/>
        <w:numPr>
          <w:ilvl w:val="0"/>
          <w:numId w:val="6"/>
        </w:numPr>
      </w:pPr>
      <w:r>
        <w:t xml:space="preserve">Assemble from the farm's words; do not rewrite them into polished prose.</w:t>
      </w:r>
    </w:p>
    <w:p>
      <w:pPr>
        <w:pStyle w:val="ListParagraph"/>
        <w:numPr>
          <w:ilvl w:val="0"/>
          <w:numId w:val="6"/>
        </w:numPr>
      </w:pPr>
      <w:r>
        <w:t xml:space="preserve">Exclude seeded generic content (such as generic SWOT text) unless the farmer edited it.</w:t>
      </w:r>
    </w:p>
    <w:p>
      <w:pPr>
        <w:pStyle w:val="ListParagraph"/>
        <w:numPr>
          <w:ilvl w:val="0"/>
          <w:numId w:val="6"/>
        </w:numPr>
      </w:pPr>
      <w:r>
        <w:t xml:space="preserve">The MFP SWOT is derived from the scores and profile, so it is not independent evidence; carry its confidence labels.</w:t>
      </w:r>
    </w:p>
    <w:p>
      <w:pPr>
        <w:pStyle w:val="ListParagraph"/>
        <w:numPr>
          <w:ilvl w:val="0"/>
          <w:numId w:val="6"/>
        </w:numPr>
      </w:pPr>
      <w:r>
        <w:t xml:space="preserve">The lens is private to the farm and is never published to its team.</w:t>
      </w:r>
    </w:p>
    <w:p>
      <w:pPr>
        <w:pStyle w:val="ListParagraph"/>
        <w:numPr>
          <w:ilvl w:val="0"/>
          <w:numId w:val="6"/>
        </w:numPr>
      </w:pPr>
      <w:r>
        <w:t xml:space="preserve">Refresh on profile changes, a new MFP result, and an annual review.</w:t>
      </w:r>
    </w:p>
    <w:p>
      <w:pPr/>
      <w:r>
        <w:rPr>
          <w:b/>
        </w:rPr>
        <w:t xml:space="preserve">How relevance is scored.</w:t>
      </w:r>
      <w:r>
        <w:t xml:space="preserve"> An update's relevance is the product of three things: exposure (the share of income or cost the change touches), priority weight (from the farm's goals, or MFP priority areas when available), and urgency (how soon the effect arrives). Treat this as a starting formula to tune.</w:t>
      </w:r>
    </w:p>
    <w:p>
      <w:pPr>
        <w:pStyle w:val="Code"/>
      </w:pPr>
      <w:bookmarkStart w:id="1" w:name="bongo_lang_latex_1"/>
      <w:bookmarkEnd w:id="1"/>
      <w:r>
        <w:t xml:space="preserve">\text{Relevance} = \text{Exposure} \times \text{Priority weight} \times \text{Urgency}</w:t>
      </w:r>
    </w:p>
    <w:p>
      <w:pPr>
        <w:pStyle w:val="Heading2"/>
      </w:pPr>
      <w:r>
        <w:t xml:space="preserve">Driver briefs: the lay of the land</w:t>
      </w:r>
    </w:p>
    <w:p>
      <w:pPr/>
      <w:r>
        <w:t xml:space="preserve">A driver brief is a short, synthesized read of one major force on agriculture. The six drivers change slowly and set the long-term backdrop; fast-moving events are handled as triggers. It is the context every update leans on, so an update can say whether a move is a blip or part of a trend. The briefs build on MFP's existing Future Drivers and Future State materials and on curated analyst work, and a person reviews each one before it goes live.</w:t>
      </w:r>
    </w:p>
    <w:p>
      <w:pPr/>
      <w:r>
        <w:rPr>
          <w:b/>
        </w:rPr>
        <w:t xml:space="preserve">What each brief contains</w:t>
      </w:r>
    </w:p>
    <w:p>
      <w:pPr>
        <w:pStyle w:val="ListParagraph"/>
        <w:numPr>
          <w:ilvl w:val="0"/>
          <w:numId w:val="7"/>
        </w:numPr>
      </w:pPr>
      <w:r>
        <w:t xml:space="preserve">State of play in three to five sentences</w:t>
      </w:r>
    </w:p>
    <w:p>
      <w:pPr>
        <w:pStyle w:val="ListParagraph"/>
        <w:numPr>
          <w:ilvl w:val="0"/>
          <w:numId w:val="7"/>
        </w:numPr>
      </w:pPr>
      <w:r>
        <w:t xml:space="preserve">Direction and pace, near term and longer term, with a confidence label</w:t>
      </w:r>
    </w:p>
    <w:p>
      <w:pPr>
        <w:pStyle w:val="ListParagraph"/>
        <w:numPr>
          <w:ilvl w:val="0"/>
          <w:numId w:val="7"/>
        </w:numPr>
      </w:pPr>
      <w:r>
        <w:t xml:space="preserve">Five to eight key facts, each with source and date</w:t>
      </w:r>
    </w:p>
    <w:p>
      <w:pPr>
        <w:pStyle w:val="ListParagraph"/>
        <w:numPr>
          <w:ilvl w:val="0"/>
          <w:numId w:val="7"/>
        </w:numPr>
      </w:pPr>
      <w:r>
        <w:t xml:space="preserve">What it means for NOI, diversification, efficiency, and passing the farm on, by farm type and size</w:t>
      </w:r>
    </w:p>
    <w:p>
      <w:pPr>
        <w:pStyle w:val="ListParagraph"/>
        <w:numPr>
          <w:ilvl w:val="0"/>
          <w:numId w:val="7"/>
        </w:numPr>
      </w:pPr>
      <w:r>
        <w:t xml:space="preserve">Which of the 29 diversification paths it opens or closes</w:t>
      </w:r>
    </w:p>
    <w:p>
      <w:pPr>
        <w:pStyle w:val="ListParagraph"/>
        <w:numPr>
          <w:ilvl w:val="0"/>
          <w:numId w:val="7"/>
        </w:numPr>
      </w:pPr>
      <w:r>
        <w:t xml:space="preserve">Indicators to watch and the thresholds that should trigger an update</w:t>
      </w:r>
    </w:p>
    <w:p>
      <w:pPr>
        <w:pStyle w:val="ListParagraph"/>
        <w:numPr>
          <w:ilvl w:val="0"/>
          <w:numId w:val="7"/>
        </w:numPr>
      </w:pPr>
      <w:r>
        <w:t xml:space="preserve">Sources used, by tier</w:t>
      </w:r>
    </w:p>
    <w:p>
      <w:pPr/>
      <w:r>
        <w:t xml:space="preserve">A brief stays near 600 to 800 words and stores no raw data, only text, key facts, and source references.</w:t>
      </w:r>
    </w:p>
    <w:tbl>
      <w:tblPr>
        <w:tblStyle w:val="TableGrid"/>
        <w:tblW w:w="0" w:type="auto"/>
        <w:tblLayout w:type="fixed"/>
        <w:tblLook w:val="04A0" w:firstRow="1" w:lastRow="0" w:firstColumn="0" w:lastColumn="0" w:noHBand="0" w:noVBand="1"/>
      </w:tblPr>
      <w:tblGrid>
        <w:gridCol w:w="2142"/>
        <w:gridCol w:w="4920"/>
        <w:gridCol w:w="2298"/>
      </w:tblGrid>
      <w:tr>
        <w:trPr>
          <w:tblHeader/>
        </w:trPr>
        <w:tc>
          <w:tcPr>
            <w:tcW w:w="2142" w:type="dxa"/>
            <w:shd w:val="clear" w:color="auto" w:fill="F2F2F2"/>
          </w:tcPr>
          <w:p>
            <w:pPr/>
            <w:r>
              <w:t xml:space="preserve">Driver</w:t>
            </w:r>
          </w:p>
        </w:tc>
        <w:tc>
          <w:tcPr>
            <w:tcW w:w="4920" w:type="dxa"/>
            <w:shd w:val="clear" w:color="auto" w:fill="F2F2F2"/>
          </w:tcPr>
          <w:p>
            <w:pPr/>
            <w:r>
              <w:t xml:space="preserve">Lay of the land covers</w:t>
            </w:r>
          </w:p>
        </w:tc>
        <w:tc>
          <w:tcPr>
            <w:tcW w:w="2298" w:type="dxa"/>
            <w:shd w:val="clear" w:color="auto" w:fill="F2F2F2"/>
          </w:tcPr>
          <w:p>
            <w:pPr/>
            <w:r>
              <w:t xml:space="preserve">Starting refresh cadence</w:t>
            </w:r>
          </w:p>
        </w:tc>
      </w:tr>
      <w:tr>
        <w:tc>
          <w:tcPr>
            <w:tcW w:w="2142" w:type="dxa"/>
          </w:tcPr>
          <w:p>
            <w:pPr/>
            <w:r>
              <w:t xml:space="preserve">Global Affluence</w:t>
            </w:r>
          </w:p>
        </w:tc>
        <w:tc>
          <w:tcPr>
            <w:tcW w:w="4920" w:type="dxa"/>
          </w:tcPr>
          <w:p>
            <w:pPr/>
            <w:r>
              <w:t xml:space="preserve">Income growth, protein and food demand by region, import appetite</w:t>
            </w:r>
          </w:p>
        </w:tc>
        <w:tc>
          <w:tcPr>
            <w:tcW w:w="2298" w:type="dxa"/>
          </w:tcPr>
          <w:p>
            <w:pPr/>
            <w:r>
              <w:t xml:space="preserve">Quarterly</w:t>
            </w:r>
          </w:p>
        </w:tc>
      </w:tr>
      <w:tr>
        <w:tc>
          <w:tcPr>
            <w:tcW w:w="2142" w:type="dxa"/>
          </w:tcPr>
          <w:p>
            <w:pPr/>
            <w:r>
              <w:t xml:space="preserve">Geopolitics</w:t>
            </w:r>
          </w:p>
        </w:tc>
        <w:tc>
          <w:tcPr>
            <w:tcW w:w="4920" w:type="dxa"/>
          </w:tcPr>
          <w:p>
            <w:pPr/>
            <w:r>
              <w:t xml:space="preserve">Trade agreements, tariffs, buyer behavior, shipping and disease at borders</w:t>
            </w:r>
          </w:p>
        </w:tc>
        <w:tc>
          <w:tcPr>
            <w:tcW w:w="2298" w:type="dxa"/>
          </w:tcPr>
          <w:p>
            <w:pPr/>
            <w:r>
              <w:t xml:space="preserve">Monthly, plus on major events</w:t>
            </w:r>
          </w:p>
        </w:tc>
      </w:tr>
      <w:tr>
        <w:tc>
          <w:tcPr>
            <w:tcW w:w="2142" w:type="dxa"/>
          </w:tcPr>
          <w:p>
            <w:pPr/>
            <w:r>
              <w:t xml:space="preserve">Human Health</w:t>
            </w:r>
          </w:p>
        </w:tc>
        <w:tc>
          <w:tcPr>
            <w:tcW w:w="4920" w:type="dxa"/>
          </w:tcPr>
          <w:p>
            <w:pPr/>
            <w:r>
              <w:t xml:space="preserve">GLP-1 drug adoption and its effect on food demand, dietary guidance, food rules, health research, consumer demand shifts</w:t>
            </w:r>
          </w:p>
        </w:tc>
        <w:tc>
          <w:tcPr>
            <w:tcW w:w="2298" w:type="dxa"/>
          </w:tcPr>
          <w:p>
            <w:pPr/>
            <w:r>
              <w:t xml:space="preserve">Quarterly</w:t>
            </w:r>
          </w:p>
        </w:tc>
      </w:tr>
      <w:tr>
        <w:tc>
          <w:tcPr>
            <w:tcW w:w="2142" w:type="dxa"/>
          </w:tcPr>
          <w:p>
            <w:pPr/>
            <w:r>
              <w:t xml:space="preserve">Climate Volatility</w:t>
            </w:r>
          </w:p>
        </w:tc>
        <w:tc>
          <w:tcPr>
            <w:tcW w:w="4920" w:type="dxa"/>
          </w:tcPr>
          <w:p>
            <w:pPr/>
            <w:r>
              <w:t xml:space="preserve">Seasonal outlook, drought and water, extreme-event risk, long-term trends</w:t>
            </w:r>
          </w:p>
        </w:tc>
        <w:tc>
          <w:tcPr>
            <w:tcW w:w="2298" w:type="dxa"/>
          </w:tcPr>
          <w:p>
            <w:pPr/>
            <w:r>
              <w:t xml:space="preserve">Monthly, plus seasonal outlook dates</w:t>
            </w:r>
          </w:p>
        </w:tc>
      </w:tr>
      <w:tr>
        <w:tc>
          <w:tcPr>
            <w:tcW w:w="2142" w:type="dxa"/>
          </w:tcPr>
          <w:p>
            <w:pPr/>
            <w:r>
              <w:t xml:space="preserve">Technology</w:t>
            </w:r>
          </w:p>
        </w:tc>
        <w:tc>
          <w:tcPr>
            <w:tcW w:w="4920" w:type="dxa"/>
          </w:tcPr>
          <w:p>
            <w:pPr/>
            <w:r>
              <w:t xml:space="preserve">Adoption, new products and approvals, data and automation, alternative proteins</w:t>
            </w:r>
          </w:p>
        </w:tc>
        <w:tc>
          <w:tcPr>
            <w:tcW w:w="2298" w:type="dxa"/>
          </w:tcPr>
          <w:p>
            <w:pPr/>
            <w:r>
              <w:t xml:space="preserve">Quarterly</w:t>
            </w:r>
          </w:p>
        </w:tc>
      </w:tr>
      <w:tr>
        <w:tc>
          <w:tcPr>
            <w:tcW w:w="2142" w:type="dxa"/>
          </w:tcPr>
          <w:p>
            <w:pPr/>
            <w:r>
              <w:t xml:space="preserve">Ownership</w:t>
            </w:r>
          </w:p>
        </w:tc>
        <w:tc>
          <w:tcPr>
            <w:tcW w:w="4920" w:type="dxa"/>
          </w:tcPr>
          <w:p>
            <w:pPr/>
            <w:r>
              <w:t xml:space="preserve">Land values, credit, farm structure, succession, competition and consolidation</w:t>
            </w:r>
          </w:p>
        </w:tc>
        <w:tc>
          <w:tcPr>
            <w:tcW w:w="2298" w:type="dxa"/>
          </w:tcPr>
          <w:p>
            <w:pPr/>
            <w:r>
              <w:t xml:space="preserve">Quarterly</w:t>
            </w:r>
          </w:p>
        </w:tc>
      </w:tr>
    </w:tbl>
    <w:p>
      <w:pPr/>
      <w:r>
        <w:t xml:space="preserve">Policy and regulation is not a driver brief. It changes too quickly, so it is handled as its own trigger family (see Triggers). Each brief carries a short policy backdrop so a policy trigger has long-term context.</w:t>
      </w:r>
    </w:p>
    <w:p>
      <w:pPr/>
      <w:r>
        <w:t xml:space="preserve">A brief is refreshed on schedule and also when a confirmed trigger changes its direction, so a major event updates the context before the next farmer update uses it.</w:t>
      </w:r>
    </w:p>
    <w:p>
      <w:pPr>
        <w:pStyle w:val="Heading2"/>
      </w:pPr>
      <w:r>
        <w:t xml:space="preserve">Source tiers and prioritization by farmer profile</w:t>
      </w:r>
    </w:p>
    <w:p>
      <w:pPr/>
      <w:r>
        <w:t xml:space="preserve">The agents look for information in a fixed order and stop as soon as they have what the update needs.</w:t>
      </w:r>
    </w:p>
    <w:tbl>
      <w:tblPr>
        <w:tblStyle w:val="TableGrid"/>
        <w:tblW w:w="0" w:type="auto"/>
        <w:tblLayout w:type="fixed"/>
        <w:tblLook w:val="04A0" w:firstRow="1" w:lastRow="0" w:firstColumn="0" w:lastColumn="0" w:noHBand="0" w:noVBand="1"/>
      </w:tblPr>
      <w:tblGrid>
        <w:gridCol w:w="1503"/>
        <w:gridCol w:w="4180"/>
        <w:gridCol w:w="3676"/>
      </w:tblGrid>
      <w:tr>
        <w:trPr>
          <w:tblHeader/>
        </w:trPr>
        <w:tc>
          <w:tcPr>
            <w:tcW w:w="1503" w:type="dxa"/>
            <w:shd w:val="clear" w:color="auto" w:fill="F2F2F2"/>
          </w:tcPr>
          <w:p>
            <w:pPr/>
            <w:r>
              <w:t xml:space="preserve">Tier</w:t>
            </w:r>
          </w:p>
        </w:tc>
        <w:tc>
          <w:tcPr>
            <w:tcW w:w="4180" w:type="dxa"/>
            <w:shd w:val="clear" w:color="auto" w:fill="F2F2F2"/>
          </w:tcPr>
          <w:p>
            <w:pPr/>
            <w:r>
              <w:t xml:space="preserve">What it is</w:t>
            </w:r>
          </w:p>
        </w:tc>
        <w:tc>
          <w:tcPr>
            <w:tcW w:w="3676" w:type="dxa"/>
            <w:shd w:val="clear" w:color="auto" w:fill="F2F2F2"/>
          </w:tcPr>
          <w:p>
            <w:pPr/>
            <w:r>
              <w:t xml:space="preserve">When the agents use it</w:t>
            </w:r>
          </w:p>
        </w:tc>
      </w:tr>
      <w:tr>
        <w:tc>
          <w:tcPr>
            <w:tcW w:w="1503" w:type="dxa"/>
          </w:tcPr>
          <w:p>
            <w:pPr/>
            <w:r>
              <w:t xml:space="preserve">0. Synthesized house sources</w:t>
            </w:r>
          </w:p>
        </w:tc>
        <w:tc>
          <w:tcPr>
            <w:tcW w:w="4180" w:type="dxa"/>
          </w:tcPr>
          <w:p>
            <w:pPr/>
            <w:r>
              <w:t xml:space="preserve">Driver briefs, MFP Future State materials, farm-specific syntheses</w:t>
            </w:r>
          </w:p>
        </w:tc>
        <w:tc>
          <w:tcPr>
            <w:tcW w:w="3676" w:type="dxa"/>
          </w:tcPr>
          <w:p>
            <w:pPr/>
            <w:r>
              <w:t xml:space="preserve">First look for every update; supplies context and the trend</w:t>
            </w:r>
          </w:p>
        </w:tc>
      </w:tr>
      <w:tr>
        <w:tc>
          <w:tcPr>
            <w:tcW w:w="1503" w:type="dxa"/>
          </w:tcPr>
          <w:p>
            <w:pPr/>
            <w:r>
              <w:t xml:space="preserve">1. Curated secondary sources</w:t>
            </w:r>
          </w:p>
        </w:tc>
        <w:tc>
          <w:tcPr>
            <w:tcW w:w="4180" w:type="dxa"/>
          </w:tcPr>
          <w:p>
            <w:pPr/>
            <w:r>
              <w:t xml:space="preserve">Analyst and agency outlooks and summaries, extension economists, trade-press summaries</w:t>
            </w:r>
          </w:p>
        </w:tc>
        <w:tc>
          <w:tcPr>
            <w:tcW w:w="3676" w:type="dxa"/>
          </w:tcPr>
          <w:p>
            <w:pPr/>
            <w:r>
              <w:t xml:space="preserve">When the brief lacks the specific fact or a fresh view is needed</w:t>
            </w:r>
          </w:p>
        </w:tc>
      </w:tr>
      <w:tr>
        <w:tc>
          <w:tcPr>
            <w:tcW w:w="1503" w:type="dxa"/>
          </w:tcPr>
          <w:p>
            <w:pPr/>
            <w:r>
              <w:t xml:space="preserve">2. Primary database</w:t>
            </w:r>
          </w:p>
        </w:tc>
        <w:tc>
          <w:tcPr>
            <w:tcW w:w="4180" w:type="dxa"/>
          </w:tcPr>
          <w:p>
            <w:pPr/>
            <w:r>
              <w:t xml:space="preserve">The full source registry (158 sources so far): agency data, market prices, rules, trade records</w:t>
            </w:r>
          </w:p>
        </w:tc>
        <w:tc>
          <w:tcPr>
            <w:tcW w:w="3676" w:type="dxa"/>
          </w:tcPr>
          <w:p>
            <w:pPr/>
            <w:r>
              <w:t xml:space="preserve">Only to fetch a current value, fill a gap, or verify a number that will drive a headline</w:t>
            </w:r>
          </w:p>
        </w:tc>
      </w:tr>
    </w:tbl>
    <w:p>
      <w:pPr/>
      <w:r>
        <w:t xml:space="preserve">One assumption to confirm: detecting a trigger such as a price move or a new rule notice has to read a small set of primary feeds, because a synthesis cannot tell you something changed today. Keep these detection feeds to a short list per farm. Everything after detection follows the tier order above.</w:t>
      </w:r>
    </w:p>
    <w:p>
      <w:pPr/>
      <w:r>
        <w:rPr>
          <w:b/>
        </w:rPr>
        <w:t xml:space="preserve">How the lens decides what to watch.</w:t>
      </w:r>
      <w:r>
        <w:t xml:space="preserve"> The Lens Agent builds a watch profile for each farm from its strategic lens: a ranked list of drivers, commodities, regions, and sources, usually 15 to 25 of the registry's sources. Inputs, in order of weight:</w:t>
      </w:r>
    </w:p>
    <w:p>
      <w:pPr>
        <w:pStyle w:val="ListParagraph"/>
        <w:numPr>
          <w:ilvl w:val="0"/>
          <w:numId w:val="8"/>
        </w:numPr>
      </w:pPr>
      <w:r>
        <w:t xml:space="preserve">Enterprises and income shares, which set the commodities and drivers that matter most</w:t>
      </w:r>
    </w:p>
    <w:p>
      <w:pPr>
        <w:pStyle w:val="ListParagraph"/>
        <w:numPr>
          <w:ilvl w:val="0"/>
          <w:numId w:val="8"/>
        </w:numPr>
      </w:pPr>
      <w:r>
        <w:t xml:space="preserve">Location and operation characteristics such as soil type and water access, which select weather, agronomic, state policy, and regional price sources</w:t>
      </w:r>
    </w:p>
    <w:p>
      <w:pPr>
        <w:pStyle w:val="ListParagraph"/>
        <w:numPr>
          <w:ilvl w:val="0"/>
          <w:numId w:val="8"/>
        </w:numPr>
      </w:pPr>
      <w:r>
        <w:t xml:space="preserve">Size class, which selects fit-appropriate diversification paths and sources</w:t>
      </w:r>
    </w:p>
    <w:p>
      <w:pPr>
        <w:pStyle w:val="ListParagraph"/>
        <w:numPr>
          <w:ilvl w:val="0"/>
          <w:numId w:val="8"/>
        </w:numPr>
      </w:pPr>
      <w:r>
        <w:t xml:space="preserve">MFP top-three priority areas, for farms that completed MFP, which add source topics (table below)</w:t>
      </w:r>
    </w:p>
    <w:p>
      <w:pPr>
        <w:pStyle w:val="ListParagraph"/>
        <w:numPr>
          <w:ilvl w:val="0"/>
          <w:numId w:val="8"/>
        </w:numPr>
      </w:pPr>
      <w:r>
        <w:t xml:space="preserve">MFP SWOT threats and opportunities, where available, which add watch topics</w:t>
      </w:r>
    </w:p>
    <w:p>
      <w:pPr>
        <w:pStyle w:val="ListParagraph"/>
        <w:numPr>
          <w:ilvl w:val="0"/>
          <w:numId w:val="8"/>
        </w:numPr>
      </w:pPr>
      <w:r>
        <w:t xml:space="preserve">Anything the farmer asks to follow</w:t>
      </w:r>
    </w:p>
    <w:tbl>
      <w:tblPr>
        <w:tblStyle w:val="TableGrid"/>
        <w:tblW w:w="0" w:type="auto"/>
        <w:tblLayout w:type="fixed"/>
        <w:tblLook w:val="04A0" w:firstRow="1" w:lastRow="0" w:firstColumn="0" w:lastColumn="0" w:noHBand="0" w:noVBand="1"/>
      </w:tblPr>
      <w:tblGrid>
        <w:gridCol w:w="1794"/>
        <w:gridCol w:w="4367"/>
        <w:gridCol w:w="3199"/>
      </w:tblGrid>
      <w:tr>
        <w:trPr>
          <w:tblHeader/>
        </w:trPr>
        <w:tc>
          <w:tcPr>
            <w:tcW w:w="1794" w:type="dxa"/>
            <w:shd w:val="clear" w:color="auto" w:fill="F2F2F2"/>
          </w:tcPr>
          <w:p>
            <w:pPr/>
            <w:r>
              <w:t xml:space="preserve">MFP dimension</w:t>
            </w:r>
          </w:p>
        </w:tc>
        <w:tc>
          <w:tcPr>
            <w:tcW w:w="4367" w:type="dxa"/>
            <w:shd w:val="clear" w:color="auto" w:fill="F2F2F2"/>
          </w:tcPr>
          <w:p>
            <w:pPr/>
            <w:r>
              <w:t xml:space="preserve">Intelligence that helps</w:t>
            </w:r>
          </w:p>
        </w:tc>
        <w:tc>
          <w:tcPr>
            <w:tcW w:w="3199" w:type="dxa"/>
            <w:shd w:val="clear" w:color="auto" w:fill="F2F2F2"/>
          </w:tcPr>
          <w:p>
            <w:pPr/>
            <w:r>
              <w:t xml:space="preserve">Source groups in the registry</w:t>
            </w:r>
          </w:p>
        </w:tc>
      </w:tr>
      <w:tr>
        <w:tc>
          <w:tcPr>
            <w:tcW w:w="1794" w:type="dxa"/>
          </w:tcPr>
          <w:p>
            <w:pPr/>
            <w:r>
              <w:t xml:space="preserve">Financial Analysis</w:t>
            </w:r>
          </w:p>
        </w:tc>
        <w:tc>
          <w:tcPr>
            <w:tcW w:w="4367" w:type="dxa"/>
          </w:tcPr>
          <w:p>
            <w:pPr/>
            <w:r>
              <w:t xml:space="preserve">Input costs, interest rates, margin benchmarks, cost-of-production data</w:t>
            </w:r>
          </w:p>
        </w:tc>
        <w:tc>
          <w:tcPr>
            <w:tcW w:w="3199" w:type="dxa"/>
          </w:tcPr>
          <w:p>
            <w:pPr/>
            <w:r>
              <w:t xml:space="preserve">Input prices, economy and credit, farm economy</w:t>
            </w:r>
          </w:p>
        </w:tc>
      </w:tr>
      <w:tr>
        <w:tc>
          <w:tcPr>
            <w:tcW w:w="1794" w:type="dxa"/>
          </w:tcPr>
          <w:p>
            <w:pPr/>
            <w:r>
              <w:t xml:space="preserve">Market Analysis</w:t>
            </w:r>
          </w:p>
        </w:tc>
        <w:tc>
          <w:tcPr>
            <w:tcW w:w="4367" w:type="dxa"/>
          </w:tcPr>
          <w:p>
            <w:pPr/>
            <w:r>
              <w:t xml:space="preserve">Price trends, demand by segment, buyer and trade signals</w:t>
            </w:r>
          </w:p>
        </w:tc>
        <w:tc>
          <w:tcPr>
            <w:tcW w:w="3199" w:type="dxa"/>
          </w:tcPr>
          <w:p>
            <w:pPr/>
            <w:r>
              <w:t xml:space="preserve">Price and market, trade flow, demand signal</w:t>
            </w:r>
          </w:p>
        </w:tc>
      </w:tr>
      <w:tr>
        <w:tc>
          <w:tcPr>
            <w:tcW w:w="1794" w:type="dxa"/>
          </w:tcPr>
          <w:p>
            <w:pPr/>
            <w:r>
              <w:t xml:space="preserve">Income Diversification</w:t>
            </w:r>
          </w:p>
        </w:tc>
        <w:tc>
          <w:tcPr>
            <w:tcW w:w="4367" w:type="dxa"/>
          </w:tcPr>
          <w:p>
            <w:pPr/>
            <w:r>
              <w:t xml:space="preserve">Viability signals for the 29 paths: program funding, energy and land demand, local demand, rule changes</w:t>
            </w:r>
          </w:p>
        </w:tc>
        <w:tc>
          <w:tcPr>
            <w:tcW w:w="3199" w:type="dxa"/>
          </w:tcPr>
          <w:p>
            <w:pPr/>
            <w:r>
              <w:t xml:space="preserve">Policy and regulation, environmental programs, technology, regional sources</w:t>
            </w:r>
          </w:p>
        </w:tc>
      </w:tr>
      <w:tr>
        <w:tc>
          <w:tcPr>
            <w:tcW w:w="1794" w:type="dxa"/>
          </w:tcPr>
          <w:p>
            <w:pPr/>
            <w:r>
              <w:t xml:space="preserve">Competitive Advantage</w:t>
            </w:r>
          </w:p>
        </w:tc>
        <w:tc>
          <w:tcPr>
            <w:tcW w:w="4367" w:type="dxa"/>
          </w:tcPr>
          <w:p>
            <w:pPr/>
            <w:r>
              <w:t xml:space="preserve">Competitor and market-structure moves, niche demand</w:t>
            </w:r>
          </w:p>
        </w:tc>
        <w:tc>
          <w:tcPr>
            <w:tcW w:w="3199" w:type="dxa"/>
          </w:tcPr>
          <w:p>
            <w:pPr/>
            <w:r>
              <w:t xml:space="preserve">Analyst, technology, ownership and competition</w:t>
            </w:r>
          </w:p>
        </w:tc>
      </w:tr>
      <w:tr>
        <w:tc>
          <w:tcPr>
            <w:tcW w:w="1794" w:type="dxa"/>
          </w:tcPr>
          <w:p>
            <w:pPr/>
            <w:r>
              <w:t xml:space="preserve">Adoption &amp; Efficiency</w:t>
            </w:r>
          </w:p>
        </w:tc>
        <w:tc>
          <w:tcPr>
            <w:tcW w:w="4367" w:type="dxa"/>
          </w:tcPr>
          <w:p>
            <w:pPr/>
            <w:r>
              <w:t xml:space="preserve">Technology cost and return, input efficiency, equipment market</w:t>
            </w:r>
          </w:p>
        </w:tc>
        <w:tc>
          <w:tcPr>
            <w:tcW w:w="3199" w:type="dxa"/>
          </w:tcPr>
          <w:p>
            <w:pPr/>
            <w:r>
              <w:t xml:space="preserve">Technology, input prices</w:t>
            </w:r>
          </w:p>
        </w:tc>
      </w:tr>
      <w:tr>
        <w:tc>
          <w:tcPr>
            <w:tcW w:w="1794" w:type="dxa"/>
          </w:tcPr>
          <w:p>
            <w:pPr/>
            <w:r>
              <w:t xml:space="preserve">Risk &amp; Protection</w:t>
            </w:r>
          </w:p>
        </w:tc>
        <w:tc>
          <w:tcPr>
            <w:tcW w:w="4367" w:type="dxa"/>
          </w:tcPr>
          <w:p>
            <w:pPr/>
            <w:r>
              <w:t xml:space="preserve">Weather, disease, insurance, credit conditions</w:t>
            </w:r>
          </w:p>
        </w:tc>
        <w:tc>
          <w:tcPr>
            <w:tcW w:w="3199" w:type="dxa"/>
          </w:tcPr>
          <w:p>
            <w:pPr/>
            <w:r>
              <w:t xml:space="preserve">Weather, disease and border, economy</w:t>
            </w:r>
          </w:p>
        </w:tc>
      </w:tr>
      <w:tr>
        <w:tc>
          <w:tcPr>
            <w:tcW w:w="1794" w:type="dxa"/>
          </w:tcPr>
          <w:p>
            <w:pPr/>
            <w:r>
              <w:t xml:space="preserve">Succession, Strategic Vision, Records &amp; Data</w:t>
            </w:r>
          </w:p>
        </w:tc>
        <w:tc>
          <w:tcPr>
            <w:tcW w:w="4367" w:type="dxa"/>
          </w:tcPr>
          <w:p>
            <w:pPr/>
            <w:r>
              <w:t xml:space="preserve">Land values, credit, tax and estate rules, long-term driver trends</w:t>
            </w:r>
          </w:p>
        </w:tc>
        <w:tc>
          <w:tcPr>
            <w:tcW w:w="3199" w:type="dxa"/>
          </w:tcPr>
          <w:p>
            <w:pPr/>
            <w:r>
              <w:t xml:space="preserve">Ownership, policy, long-term outlooks</w:t>
            </w:r>
          </w:p>
        </w:tc>
      </w:tr>
    </w:tbl>
    <w:p>
      <w:pPr>
        <w:pStyle w:val="Heading2"/>
      </w:pPr>
      <w:r>
        <w:t xml:space="preserve">Triggers: what starts an update</w:t>
      </w:r>
    </w:p>
    <w:p>
      <w:pPr/>
      <w:r>
        <w:t xml:space="preserve">An update starts when something dynamic changes enough to matter to a specific farm. Triggers are the fast layer: each one carries a near-term and a longer-term impact, and the driver briefs supply the long-term context. Bracketed thresholds are placeholders to set from pilot farms.</w:t>
      </w:r>
    </w:p>
    <w:tbl>
      <w:tblPr>
        <w:tblStyle w:val="TableGrid"/>
        <w:tblW w:w="0" w:type="auto"/>
        <w:tblLayout w:type="fixed"/>
        <w:tblLook w:val="04A0" w:firstRow="1" w:lastRow="0" w:firstColumn="0" w:lastColumn="0" w:noHBand="0" w:noVBand="1"/>
      </w:tblPr>
      <w:tblGrid>
        <w:gridCol w:w="1859"/>
        <w:gridCol w:w="3496"/>
        <w:gridCol w:w="2370"/>
        <w:gridCol w:w="1635"/>
      </w:tblGrid>
      <w:tr>
        <w:trPr>
          <w:tblHeader/>
        </w:trPr>
        <w:tc>
          <w:tcPr>
            <w:tcW w:w="1859" w:type="dxa"/>
            <w:shd w:val="clear" w:color="auto" w:fill="F2F2F2"/>
          </w:tcPr>
          <w:p>
            <w:pPr/>
            <w:r>
              <w:t xml:space="preserve">Trigger family</w:t>
            </w:r>
          </w:p>
        </w:tc>
        <w:tc>
          <w:tcPr>
            <w:tcW w:w="3496" w:type="dxa"/>
            <w:shd w:val="clear" w:color="auto" w:fill="F2F2F2"/>
          </w:tcPr>
          <w:p>
            <w:pPr/>
            <w:r>
              <w:t xml:space="preserve">Examples</w:t>
            </w:r>
          </w:p>
        </w:tc>
        <w:tc>
          <w:tcPr>
            <w:tcW w:w="2370" w:type="dxa"/>
            <w:shd w:val="clear" w:color="auto" w:fill="F2F2F2"/>
          </w:tcPr>
          <w:p>
            <w:pPr/>
            <w:r>
              <w:t xml:space="preserve">Starting threshold</w:t>
            </w:r>
          </w:p>
        </w:tc>
        <w:tc>
          <w:tcPr>
            <w:tcW w:w="1635" w:type="dxa"/>
            <w:shd w:val="clear" w:color="auto" w:fill="F2F2F2"/>
          </w:tcPr>
          <w:p>
            <w:pPr/>
            <w:r>
              <w:t xml:space="preserve">Matched to the farm by</w:t>
            </w:r>
          </w:p>
        </w:tc>
      </w:tr>
      <w:tr>
        <w:tc>
          <w:tcPr>
            <w:tcW w:w="1859" w:type="dxa"/>
          </w:tcPr>
          <w:p>
            <w:pPr/>
            <w:r>
              <w:t xml:space="preserve">Price and market</w:t>
            </w:r>
          </w:p>
        </w:tc>
        <w:tc>
          <w:tcPr>
            <w:tcW w:w="3496" w:type="dxa"/>
          </w:tcPr>
          <w:p>
            <w:pPr/>
            <w:r>
              <w:t xml:space="preserve">Commodity or product price move, futures curve shape, margin spread, basis</w:t>
            </w:r>
          </w:p>
        </w:tc>
        <w:tc>
          <w:tcPr>
            <w:tcW w:w="2370" w:type="dxa"/>
          </w:tcPr>
          <w:p>
            <w:pPr/>
            <w:r>
              <w:t xml:space="preserve">Move of [x]% against the farm's baseline or contract price</w:t>
            </w:r>
          </w:p>
        </w:tc>
        <w:tc>
          <w:tcPr>
            <w:tcW w:w="1635" w:type="dxa"/>
          </w:tcPr>
          <w:p>
            <w:pPr/>
            <w:r>
              <w:t xml:space="preserve">Commodities and income shares</w:t>
            </w:r>
          </w:p>
        </w:tc>
      </w:tr>
      <w:tr>
        <w:tc>
          <w:tcPr>
            <w:tcW w:w="1859" w:type="dxa"/>
          </w:tcPr>
          <w:p>
            <w:pPr/>
            <w:r>
              <w:t xml:space="preserve">Input cost</w:t>
            </w:r>
          </w:p>
        </w:tc>
        <w:tc>
          <w:tcPr>
            <w:tcW w:w="3496" w:type="dxa"/>
          </w:tcPr>
          <w:p>
            <w:pPr/>
            <w:r>
              <w:t xml:space="preserve">Fertilizer, feed, fuel, equipment, interest rate</w:t>
            </w:r>
          </w:p>
        </w:tc>
        <w:tc>
          <w:tcPr>
            <w:tcW w:w="2370" w:type="dxa"/>
          </w:tcPr>
          <w:p>
            <w:pPr/>
            <w:r>
              <w:t xml:space="preserve">Move of [x]% on a cost line above [y]% of expenses</w:t>
            </w:r>
          </w:p>
        </w:tc>
        <w:tc>
          <w:tcPr>
            <w:tcW w:w="1635" w:type="dxa"/>
          </w:tcPr>
          <w:p>
            <w:pPr/>
            <w:r>
              <w:t xml:space="preserve">Cost structure and debt</w:t>
            </w:r>
          </w:p>
        </w:tc>
      </w:tr>
      <w:tr>
        <w:tc>
          <w:tcPr>
            <w:tcW w:w="1859" w:type="dxa"/>
          </w:tcPr>
          <w:p>
            <w:pPr/>
            <w:r>
              <w:t xml:space="preserve">Policy and regulation</w:t>
            </w:r>
          </w:p>
        </w:tc>
        <w:tc>
          <w:tcPr>
            <w:tcW w:w="3496" w:type="dxa"/>
          </w:tcPr>
          <w:p>
            <w:pPr/>
            <w:r>
              <w:t xml:space="preserve">A rule planned, proposed, in comment, final, or effective; a bill moving; a program sign-up; a court ruling; a state law</w:t>
            </w:r>
          </w:p>
        </w:tc>
        <w:tc>
          <w:tcPr>
            <w:tcW w:w="2370" w:type="dxa"/>
          </w:tcPr>
          <w:p>
            <w:pPr/>
            <w:r>
              <w:t xml:space="preserve">Any stage change on an item that touches the farm's enterprises or paths</w:t>
            </w:r>
          </w:p>
        </w:tc>
        <w:tc>
          <w:tcPr>
            <w:tcW w:w="1635" w:type="dxa"/>
          </w:tcPr>
          <w:p>
            <w:pPr/>
            <w:r>
              <w:t xml:space="preserve">Enterprises, state, and size class</w:t>
            </w:r>
          </w:p>
        </w:tc>
      </w:tr>
      <w:tr>
        <w:tc>
          <w:tcPr>
            <w:tcW w:w="1859" w:type="dxa"/>
          </w:tcPr>
          <w:p>
            <w:pPr/>
            <w:r>
              <w:t xml:space="preserve">Trade and geopolitics</w:t>
            </w:r>
          </w:p>
        </w:tc>
        <w:tc>
          <w:tcPr>
            <w:tcW w:w="3496" w:type="dxa"/>
          </w:tcPr>
          <w:p>
            <w:pPr/>
            <w:r>
              <w:t xml:space="preserve">Tariff, quota, ban, buyer review, shipping disruption</w:t>
            </w:r>
          </w:p>
        </w:tc>
        <w:tc>
          <w:tcPr>
            <w:tcW w:w="2370" w:type="dxa"/>
          </w:tcPr>
          <w:p>
            <w:pPr/>
            <w:r>
              <w:t xml:space="preserve">Action touching a product the farm sells or inputs it buys</w:t>
            </w:r>
          </w:p>
        </w:tc>
        <w:tc>
          <w:tcPr>
            <w:tcW w:w="1635" w:type="dxa"/>
          </w:tcPr>
          <w:p>
            <w:pPr/>
            <w:r>
              <w:t xml:space="preserve">Products, buyers, input sources</w:t>
            </w:r>
          </w:p>
        </w:tc>
      </w:tr>
      <w:tr>
        <w:tc>
          <w:tcPr>
            <w:tcW w:w="1859" w:type="dxa"/>
          </w:tcPr>
          <w:p>
            <w:pPr/>
            <w:r>
              <w:t xml:space="preserve">Weather and climate</w:t>
            </w:r>
          </w:p>
        </w:tc>
        <w:tc>
          <w:tcPr>
            <w:tcW w:w="3496" w:type="dxa"/>
          </w:tcPr>
          <w:p>
            <w:pPr/>
            <w:r>
              <w:t xml:space="preserve">Seasonal outlook shift, drought category change, extreme-event forecast</w:t>
            </w:r>
          </w:p>
        </w:tc>
        <w:tc>
          <w:tcPr>
            <w:tcW w:w="2370" w:type="dxa"/>
          </w:tcPr>
          <w:p>
            <w:pPr/>
            <w:r>
              <w:t xml:space="preserve">Change that moves a yield or cost range for the farm's crops or herd</w:t>
            </w:r>
          </w:p>
        </w:tc>
        <w:tc>
          <w:tcPr>
            <w:tcW w:w="1635" w:type="dxa"/>
          </w:tcPr>
          <w:p>
            <w:pPr/>
            <w:r>
              <w:t xml:space="preserve">Location and enterprises</w:t>
            </w:r>
          </w:p>
        </w:tc>
      </w:tr>
      <w:tr>
        <w:tc>
          <w:tcPr>
            <w:tcW w:w="1859" w:type="dxa"/>
          </w:tcPr>
          <w:p>
            <w:pPr/>
            <w:r>
              <w:t xml:space="preserve">Disease and border</w:t>
            </w:r>
          </w:p>
        </w:tc>
        <w:tc>
          <w:tcPr>
            <w:tcW w:w="3496" w:type="dxa"/>
          </w:tcPr>
          <w:p>
            <w:pPr/>
            <w:r>
              <w:t xml:space="preserve">Detection nearby, movement rules, import bans</w:t>
            </w:r>
          </w:p>
        </w:tc>
        <w:tc>
          <w:tcPr>
            <w:tcW w:w="2370" w:type="dxa"/>
          </w:tcPr>
          <w:p>
            <w:pPr/>
            <w:r>
              <w:t xml:space="preserve">Detection in or near the farm's region</w:t>
            </w:r>
          </w:p>
        </w:tc>
        <w:tc>
          <w:tcPr>
            <w:tcW w:w="1635" w:type="dxa"/>
          </w:tcPr>
          <w:p>
            <w:pPr/>
            <w:r>
              <w:t xml:space="preserve">Location and livestock</w:t>
            </w:r>
          </w:p>
        </w:tc>
      </w:tr>
      <w:tr>
        <w:tc>
          <w:tcPr>
            <w:tcW w:w="1859" w:type="dxa"/>
          </w:tcPr>
          <w:p>
            <w:pPr/>
            <w:r>
              <w:t xml:space="preserve">Credit and finance</w:t>
            </w:r>
          </w:p>
        </w:tc>
        <w:tc>
          <w:tcPr>
            <w:tcW w:w="3496" w:type="dxa"/>
          </w:tcPr>
          <w:p>
            <w:pPr/>
            <w:r>
              <w:t xml:space="preserve">Lender behavior, rates, credit tightening</w:t>
            </w:r>
          </w:p>
        </w:tc>
        <w:tc>
          <w:tcPr>
            <w:tcW w:w="2370" w:type="dxa"/>
          </w:tcPr>
          <w:p>
            <w:pPr/>
            <w:r>
              <w:t xml:space="preserve">Change that affects the farm's debt or liquidity</w:t>
            </w:r>
          </w:p>
        </w:tc>
        <w:tc>
          <w:tcPr>
            <w:tcW w:w="1635" w:type="dxa"/>
          </w:tcPr>
          <w:p>
            <w:pPr/>
            <w:r>
              <w:t xml:space="preserve">Debt and cash position</w:t>
            </w:r>
          </w:p>
        </w:tc>
      </w:tr>
      <w:tr>
        <w:tc>
          <w:tcPr>
            <w:tcW w:w="1859" w:type="dxa"/>
          </w:tcPr>
          <w:p>
            <w:pPr/>
            <w:r>
              <w:t xml:space="preserve">Technology and structure</w:t>
            </w:r>
          </w:p>
        </w:tc>
        <w:tc>
          <w:tcPr>
            <w:tcW w:w="3496" w:type="dxa"/>
          </w:tcPr>
          <w:p>
            <w:pPr/>
            <w:r>
              <w:t xml:space="preserve">New product approvals, entrants, competitor or buyer moves</w:t>
            </w:r>
          </w:p>
        </w:tc>
        <w:tc>
          <w:tcPr>
            <w:tcW w:w="2370" w:type="dxa"/>
          </w:tcPr>
          <w:p>
            <w:pPr/>
            <w:r>
              <w:t xml:space="preserve">Item that changes a path's fit or a market the farm sells into</w:t>
            </w:r>
          </w:p>
        </w:tc>
        <w:tc>
          <w:tcPr>
            <w:tcW w:w="1635" w:type="dxa"/>
          </w:tcPr>
          <w:p>
            <w:pPr/>
            <w:r>
              <w:t xml:space="preserve">Enterprises and paths</w:t>
            </w:r>
          </w:p>
        </w:tc>
      </w:tr>
      <w:tr>
        <w:tc>
          <w:tcPr>
            <w:tcW w:w="1859" w:type="dxa"/>
          </w:tcPr>
          <w:p>
            <w:pPr/>
            <w:r>
              <w:t xml:space="preserve">Land and ownership</w:t>
            </w:r>
          </w:p>
        </w:tc>
        <w:tc>
          <w:tcPr>
            <w:tcW w:w="3496" w:type="dxa"/>
          </w:tcPr>
          <w:p>
            <w:pPr/>
            <w:r>
              <w:t xml:space="preserve">Land value or rent shift, program funding, foreign ownership rules</w:t>
            </w:r>
          </w:p>
        </w:tc>
        <w:tc>
          <w:tcPr>
            <w:tcW w:w="2370" w:type="dxa"/>
          </w:tcPr>
          <w:p>
            <w:pPr/>
            <w:r>
              <w:t xml:space="preserve">Change in the farm's region</w:t>
            </w:r>
          </w:p>
        </w:tc>
        <w:tc>
          <w:tcPr>
            <w:tcW w:w="1635" w:type="dxa"/>
          </w:tcPr>
          <w:p>
            <w:pPr/>
            <w:r>
              <w:t xml:space="preserve">Land owned or rented, region</w:t>
            </w:r>
          </w:p>
        </w:tc>
      </w:tr>
      <w:tr>
        <w:tc>
          <w:tcPr>
            <w:tcW w:w="1859" w:type="dxa"/>
          </w:tcPr>
          <w:p>
            <w:pPr/>
            <w:r>
              <w:t xml:space="preserve">Diversification-path viability</w:t>
            </w:r>
          </w:p>
        </w:tc>
        <w:tc>
          <w:tcPr>
            <w:tcW w:w="3496" w:type="dxa"/>
          </w:tcPr>
          <w:p>
            <w:pPr/>
            <w:r>
              <w:t xml:space="preserve">A program opens or closes, a bill passes, an energy developer moves into a county, a conservation payment changes</w:t>
            </w:r>
          </w:p>
        </w:tc>
        <w:tc>
          <w:tcPr>
            <w:tcW w:w="2370" w:type="dxa"/>
          </w:tcPr>
          <w:p>
            <w:pPr/>
            <w:r>
              <w:t xml:space="preserve">Any change that moves a path's capital, timing, or fit</w:t>
            </w:r>
          </w:p>
        </w:tc>
        <w:tc>
          <w:tcPr>
            <w:tcW w:w="1635" w:type="dxa"/>
          </w:tcPr>
          <w:p>
            <w:pPr/>
            <w:r>
              <w:t xml:space="preserve">Paths the farm shortlisted or fits</w:t>
            </w:r>
          </w:p>
        </w:tc>
      </w:tr>
      <w:tr>
        <w:tc>
          <w:tcPr>
            <w:tcW w:w="1859" w:type="dxa"/>
          </w:tcPr>
          <w:p>
            <w:pPr/>
            <w:r>
              <w:t xml:space="preserve">MFP events</w:t>
            </w:r>
          </w:p>
        </w:tc>
        <w:tc>
          <w:tcPr>
            <w:tcW w:w="3496" w:type="dxa"/>
          </w:tcPr>
          <w:p>
            <w:pPr/>
            <w:r>
              <w:t xml:space="preserve">New assessment or SWOT, action plan milestone due, annual review date, succession plan milestone</w:t>
            </w:r>
          </w:p>
        </w:tc>
        <w:tc>
          <w:tcPr>
            <w:tcW w:w="2370" w:type="dxa"/>
          </w:tcPr>
          <w:p>
            <w:pPr/>
            <w:r>
              <w:t xml:space="preserve">Date or score change</w:t>
            </w:r>
          </w:p>
        </w:tc>
        <w:tc>
          <w:tcPr>
            <w:tcW w:w="1635" w:type="dxa"/>
          </w:tcPr>
          <w:p>
            <w:pPr/>
            <w:r>
              <w:t xml:space="preserve">The farm's MFP record</w:t>
            </w:r>
          </w:p>
        </w:tc>
      </w:tr>
      <w:tr>
        <w:tc>
          <w:tcPr>
            <w:tcW w:w="1859" w:type="dxa"/>
          </w:tcPr>
          <w:p>
            <w:pPr/>
            <w:r>
              <w:t xml:space="preserve">Scheduled</w:t>
            </w:r>
          </w:p>
        </w:tc>
        <w:tc>
          <w:tcPr>
            <w:tcW w:w="3496" w:type="dxa"/>
          </w:tcPr>
          <w:p>
            <w:pPr/>
            <w:r>
              <w:t xml:space="preserve">Monthly lay-of-the-land summary, seasonal outlook, annual market review</w:t>
            </w:r>
          </w:p>
        </w:tc>
        <w:tc>
          <w:tcPr>
            <w:tcW w:w="2370" w:type="dxa"/>
          </w:tcPr>
          <w:p>
            <w:pPr/>
            <w:r>
              <w:t xml:space="preserve">Calendar</w:t>
            </w:r>
          </w:p>
        </w:tc>
        <w:tc>
          <w:tcPr>
            <w:tcW w:w="1635" w:type="dxa"/>
          </w:tcPr>
          <w:p>
            <w:pPr/>
            <w:r>
              <w:t xml:space="preserve">All farms on the watch list</w:t>
            </w:r>
          </w:p>
        </w:tc>
      </w:tr>
      <w:tr>
        <w:tc>
          <w:tcPr>
            <w:tcW w:w="1859" w:type="dxa"/>
          </w:tcPr>
          <w:p>
            <w:pPr/>
            <w:r>
              <w:t xml:space="preserve">Farmer request</w:t>
            </w:r>
          </w:p>
        </w:tc>
        <w:tc>
          <w:tcPr>
            <w:tcW w:w="3496" w:type="dxa"/>
          </w:tcPr>
          <w:p>
            <w:pPr/>
            <w:r>
              <w:t xml:space="preserve">"What changed for me?"</w:t>
            </w:r>
          </w:p>
        </w:tc>
        <w:tc>
          <w:tcPr>
            <w:tcW w:w="2370" w:type="dxa"/>
          </w:tcPr>
          <w:p>
            <w:pPr/>
            <w:r>
              <w:t xml:space="preserve">On demand</w:t>
            </w:r>
          </w:p>
        </w:tc>
        <w:tc>
          <w:tcPr>
            <w:tcW w:w="1635" w:type="dxa"/>
          </w:tcPr>
          <w:p>
            <w:pPr/>
            <w:r>
              <w:t xml:space="preserve">The farm's profile</w:t>
            </w:r>
          </w:p>
        </w:tc>
      </w:tr>
    </w:tbl>
    <w:p>
      <w:pPr/>
      <w:r>
        <w:rPr>
          <w:b/>
        </w:rPr>
        <w:t xml:space="preserve">Policy and regulation is its own trigger family</w:t>
      </w:r>
      <w:r>
        <w:t xml:space="preserve"> because it moves stage by stage and can change quickly: a rule planned, proposed, in comment, final, or effective; a bill moving; a program sign-up; a court ruling; a state law. Each stage change is a trigger, and later stages update the same thread. The Policy Alert Rules tab of the source registry holds a starting set of 15 rules with sources and thresholds. The driver briefs carry the long-term policy backdrop, so a policy trigger can state its longer-term effect.</w:t>
      </w:r>
    </w:p>
    <w:p>
      <w:pPr/>
      <w:r>
        <w:t xml:space="preserve">Diversification-path triggers deserve their own watchers. The reference sheet notes that CRP land grazing access depends on a bill that has not passed, so a change in that bill's status is exactly the event that should turn a long-shot path into a live option for a beef operation near CRP acres.</w:t>
      </w:r>
    </w:p>
    <w:p>
      <w:pPr/>
      <w:r>
        <w:rPr>
          <w:b/>
        </w:rPr>
        <w:t xml:space="preserve">Gating and limits.</w:t>
      </w:r>
      <w:r>
        <w:t xml:space="preserve"> Score each candidate update with the relevance formula, send only those above the relevance bar, cap routine updates at [x] per week, and let only the urgent family (disease, sudden trade action, imminent deadline) go outside the cap.</w:t>
      </w:r>
    </w:p>
    <w:p>
      <w:pPr>
        <w:pStyle w:val="Heading2"/>
      </w:pPr>
      <w:r>
        <w:t xml:space="preserve">From trigger to update</w:t>
      </w:r>
    </w:p>
    <w:p>
      <w:pPr/>
      <w:r>
        <w:t xml:space="preserve">Every update follows the same eight steps. The synthesized context does most of the work; data is fetched only where the steps call for it.</w:t>
      </w:r>
    </w:p>
    <w:p>
      <w:pPr>
        <w:pStyle w:val="ListParagraph"/>
        <w:numPr>
          <w:ilvl w:val="0"/>
          <w:numId w:val="9"/>
        </w:numPr>
      </w:pPr>
      <w:r>
        <w:rPr>
          <w:b/>
        </w:rPr>
        <w:t xml:space="preserve">Detect and match.</w:t>
      </w:r>
      <w:r>
        <w:t xml:space="preserve"> A trigger fires. The Trigger Monitor finds the farms it touches and scores relevance.</w:t>
      </w:r>
    </w:p>
    <w:p>
      <w:pPr>
        <w:pStyle w:val="ListParagraph"/>
        <w:numPr>
          <w:ilvl w:val="0"/>
          <w:numId w:val="9"/>
        </w:numPr>
      </w:pPr>
      <w:r>
        <w:rPr>
          <w:b/>
        </w:rPr>
        <w:t xml:space="preserve">Pull context.</w:t>
      </w:r>
      <w:r>
        <w:t xml:space="preserve"> Read the relevant driver brief and the slice of the strategic lens that applies: enterprises, goals, operation characteristics, and, for MFP farms, priority areas, SWOT items, and the action plan.</w:t>
      </w:r>
    </w:p>
    <w:p>
      <w:pPr>
        <w:pStyle w:val="ListParagraph"/>
        <w:numPr>
          <w:ilvl w:val="0"/>
          <w:numId w:val="9"/>
        </w:numPr>
      </w:pPr>
      <w:r>
        <w:rPr>
          <w:b/>
        </w:rPr>
        <w:t xml:space="preserve">Fetch only what is needed.</w:t>
      </w:r>
      <w:r>
        <w:t xml:space="preserve"> Follow the tier order. Get the current value or change, and verify any number that will drive the headline.</w:t>
      </w:r>
    </w:p>
    <w:p>
      <w:pPr>
        <w:pStyle w:val="ListParagraph"/>
        <w:numPr>
          <w:ilvl w:val="0"/>
          <w:numId w:val="9"/>
        </w:numPr>
      </w:pPr>
      <w:r>
        <w:rPr>
          <w:b/>
        </w:rPr>
        <w:t xml:space="preserve">Reason about impact.</w:t>
      </w:r>
      <w:r>
        <w:t xml:space="preserve"> Whole farm first (NOI, cash, risk, and the legacy goal), then enterprises. Give a near-term and a longer-term effect, each with direction, a size band, and confidence. Use the brief to say whether the move is a blip or a trend.</w:t>
      </w:r>
    </w:p>
    <w:p>
      <w:pPr>
        <w:pStyle w:val="ListParagraph"/>
        <w:numPr>
          <w:ilvl w:val="0"/>
          <w:numId w:val="9"/>
        </w:numPr>
      </w:pPr>
      <w:r>
        <w:rPr>
          <w:b/>
        </w:rPr>
        <w:t xml:space="preserve">Find opportunities and threats.</w:t>
      </w:r>
      <w:r>
        <w:t xml:space="preserve"> Map to diversification paths (in production and outside production), efficiency moves that pass the ROI gate, and risks. Name the MFP action the change supports or alters.</w:t>
      </w:r>
    </w:p>
    <w:p>
      <w:pPr>
        <w:pStyle w:val="ListParagraph"/>
        <w:numPr>
          <w:ilvl w:val="0"/>
          <w:numId w:val="9"/>
        </w:numPr>
      </w:pPr>
      <w:r>
        <w:rPr>
          <w:b/>
        </w:rPr>
        <w:t xml:space="preserve">Compose.</w:t>
      </w:r>
      <w:r>
        <w:t xml:space="preserve"> Use the fixed structure below, plain language, and about 200 words.</w:t>
      </w:r>
    </w:p>
    <w:p>
      <w:pPr>
        <w:pStyle w:val="ListParagraph"/>
        <w:numPr>
          <w:ilvl w:val="0"/>
          <w:numId w:val="9"/>
        </w:numPr>
      </w:pPr>
      <w:r>
        <w:rPr>
          <w:b/>
        </w:rPr>
        <w:t xml:space="preserve">Verify and deliver.</w:t>
      </w:r>
      <w:r>
        <w:t xml:space="preserve"> Run the independence check, set the confidence label, and route high-stakes items to a person at launch. Deliver within the weekly budget.</w:t>
      </w:r>
    </w:p>
    <w:p>
      <w:pPr>
        <w:pStyle w:val="ListParagraph"/>
        <w:numPr>
          <w:ilvl w:val="0"/>
          <w:numId w:val="9"/>
        </w:numPr>
      </w:pPr>
      <w:r>
        <w:rPr>
          <w:b/>
        </w:rPr>
        <w:t xml:space="preserve">Learn.</w:t>
      </w:r>
      <w:r>
        <w:t xml:space="preserve"> Log the farmer's reaction and, later, what happened, to tune thresholds and source order.</w:t>
      </w:r>
    </w:p>
    <w:p>
      <w:pPr/>
      <w:r>
        <w:rPr>
          <w:b/>
        </w:rPr>
        <w:t xml:space="preserve">Structure of an update</w:t>
      </w:r>
    </w:p>
    <w:tbl>
      <w:tblPr>
        <w:tblStyle w:val="TableGrid"/>
        <w:tblW w:w="0" w:type="auto"/>
        <w:tblLayout w:type="fixed"/>
        <w:tblLook w:val="04A0" w:firstRow="1" w:lastRow="0" w:firstColumn="0" w:lastColumn="0" w:noHBand="0" w:noVBand="1"/>
      </w:tblPr>
      <w:tblGrid>
        <w:gridCol w:w="3091"/>
        <w:gridCol w:w="4489"/>
        <w:gridCol w:w="1780"/>
      </w:tblGrid>
      <w:tr>
        <w:trPr>
          <w:tblHeader/>
        </w:trPr>
        <w:tc>
          <w:tcPr>
            <w:tcW w:w="3091" w:type="dxa"/>
            <w:shd w:val="clear" w:color="auto" w:fill="F2F2F2"/>
          </w:tcPr>
          <w:p>
            <w:pPr/>
            <w:r>
              <w:t xml:space="preserve">Section</w:t>
            </w:r>
          </w:p>
        </w:tc>
        <w:tc>
          <w:tcPr>
            <w:tcW w:w="4489" w:type="dxa"/>
            <w:shd w:val="clear" w:color="auto" w:fill="F2F2F2"/>
          </w:tcPr>
          <w:p>
            <w:pPr/>
            <w:r>
              <w:t xml:space="preserve">Content</w:t>
            </w:r>
          </w:p>
        </w:tc>
        <w:tc>
          <w:tcPr>
            <w:tcW w:w="1780" w:type="dxa"/>
            <w:shd w:val="clear" w:color="auto" w:fill="F2F2F2"/>
          </w:tcPr>
          <w:p>
            <w:pPr/>
            <w:r>
              <w:t xml:space="preserve">Comes mainly from</w:t>
            </w:r>
          </w:p>
        </w:tc>
      </w:tr>
      <w:tr>
        <w:tc>
          <w:tcPr>
            <w:tcW w:w="3091" w:type="dxa"/>
          </w:tcPr>
          <w:p>
            <w:pPr/>
            <w:r>
              <w:t xml:space="preserve">What changed</w:t>
            </w:r>
          </w:p>
        </w:tc>
        <w:tc>
          <w:tcPr>
            <w:tcW w:w="4489" w:type="dxa"/>
          </w:tcPr>
          <w:p>
            <w:pPr/>
            <w:r>
              <w:t xml:space="preserve">The trigger, with the number, the date, and the prior level</w:t>
            </w:r>
          </w:p>
        </w:tc>
        <w:tc>
          <w:tcPr>
            <w:tcW w:w="1780" w:type="dxa"/>
          </w:tcPr>
          <w:p>
            <w:pPr/>
            <w:r>
              <w:t xml:space="preserve">Fetched data, verified</w:t>
            </w:r>
          </w:p>
        </w:tc>
      </w:tr>
      <w:tr>
        <w:tc>
          <w:tcPr>
            <w:tcW w:w="3091" w:type="dxa"/>
          </w:tcPr>
          <w:p>
            <w:pPr/>
            <w:r>
              <w:t xml:space="preserve">The lay of the land</w:t>
            </w:r>
          </w:p>
        </w:tc>
        <w:tc>
          <w:tcPr>
            <w:tcW w:w="4489" w:type="dxa"/>
          </w:tcPr>
          <w:p>
            <w:pPr/>
            <w:r>
              <w:t xml:space="preserve">One or two sentences on the trend behind it</w:t>
            </w:r>
          </w:p>
        </w:tc>
        <w:tc>
          <w:tcPr>
            <w:tcW w:w="1780" w:type="dxa"/>
          </w:tcPr>
          <w:p>
            <w:pPr/>
            <w:r>
              <w:t xml:space="preserve">Driver brief</w:t>
            </w:r>
          </w:p>
        </w:tc>
      </w:tr>
      <w:tr>
        <w:tc>
          <w:tcPr>
            <w:tcW w:w="3091" w:type="dxa"/>
          </w:tcPr>
          <w:p>
            <w:pPr/>
            <w:r>
              <w:t xml:space="preserve">Near term</w:t>
            </w:r>
          </w:p>
        </w:tc>
        <w:tc>
          <w:tcPr>
            <w:tcW w:w="4489" w:type="dxa"/>
          </w:tcPr>
          <w:p>
            <w:pPr/>
            <w:r>
              <w:t xml:space="preserve">Effect over the next one to two seasons, with a range</w:t>
            </w:r>
          </w:p>
        </w:tc>
        <w:tc>
          <w:tcPr>
            <w:tcW w:w="1780" w:type="dxa"/>
          </w:tcPr>
          <w:p>
            <w:pPr/>
            <w:r>
              <w:t xml:space="preserve">Fetched data plus strategic lens</w:t>
            </w:r>
          </w:p>
        </w:tc>
      </w:tr>
      <w:tr>
        <w:tc>
          <w:tcPr>
            <w:tcW w:w="3091" w:type="dxa"/>
          </w:tcPr>
          <w:p>
            <w:pPr/>
            <w:r>
              <w:t xml:space="preserve">Longer term</w:t>
            </w:r>
          </w:p>
        </w:tc>
        <w:tc>
          <w:tcPr>
            <w:tcW w:w="4489" w:type="dxa"/>
          </w:tcPr>
          <w:p>
            <w:pPr/>
            <w:r>
              <w:t xml:space="preserve">Effect over three to ten years</w:t>
            </w:r>
          </w:p>
        </w:tc>
        <w:tc>
          <w:tcPr>
            <w:tcW w:w="1780" w:type="dxa"/>
          </w:tcPr>
          <w:p>
            <w:pPr/>
            <w:r>
              <w:t xml:space="preserve">Driver brief</w:t>
            </w:r>
          </w:p>
        </w:tc>
      </w:tr>
      <w:tr>
        <w:tc>
          <w:tcPr>
            <w:tcW w:w="3091" w:type="dxa"/>
          </w:tcPr>
          <w:p>
            <w:pPr/>
            <w:r>
              <w:t xml:space="preserve">Whole-farm check</w:t>
            </w:r>
          </w:p>
        </w:tc>
        <w:tc>
          <w:tcPr>
            <w:tcW w:w="4489" w:type="dxa"/>
          </w:tcPr>
          <w:p>
            <w:pPr/>
            <w:r>
              <w:t xml:space="preserve">What it means across enterprises and shared resources, and the business-level question to settle first</w:t>
            </w:r>
          </w:p>
        </w:tc>
        <w:tc>
          <w:tcPr>
            <w:tcW w:w="1780" w:type="dxa"/>
          </w:tcPr>
          <w:p>
            <w:pPr/>
            <w:r>
              <w:t xml:space="preserve">Strategic lens</w:t>
            </w:r>
          </w:p>
        </w:tc>
      </w:tr>
      <w:tr>
        <w:tc>
          <w:tcPr>
            <w:tcW w:w="3091" w:type="dxa"/>
          </w:tcPr>
          <w:p>
            <w:pPr/>
            <w:r>
              <w:t xml:space="preserve">Opportunity and threat</w:t>
            </w:r>
          </w:p>
        </w:tc>
        <w:tc>
          <w:tcPr>
            <w:tcW w:w="4489" w:type="dxa"/>
          </w:tcPr>
          <w:p>
            <w:pPr/>
            <w:r>
              <w:t xml:space="preserve">The paths, efficiency moves, or risks it opens</w:t>
            </w:r>
          </w:p>
        </w:tc>
        <w:tc>
          <w:tcPr>
            <w:tcW w:w="1780" w:type="dxa"/>
          </w:tcPr>
          <w:p>
            <w:pPr/>
            <w:r>
              <w:t xml:space="preserve">Diversification library, SWOT</w:t>
            </w:r>
          </w:p>
        </w:tc>
      </w:tr>
      <w:tr>
        <w:tc>
          <w:tcPr>
            <w:tcW w:w="3091" w:type="dxa"/>
          </w:tcPr>
          <w:p>
            <w:pPr/>
            <w:r>
              <w:t xml:space="preserve">Legacy view</w:t>
            </w:r>
          </w:p>
        </w:tc>
        <w:tc>
          <w:tcPr>
            <w:tcW w:w="4489" w:type="dxa"/>
          </w:tcPr>
          <w:p>
            <w:pPr/>
            <w:r>
              <w:t xml:space="preserve">How the change affects the farm's ability to be passed on: financial strength to transfer, value that survives a handoff, and next-generation readiness</w:t>
            </w:r>
          </w:p>
        </w:tc>
        <w:tc>
          <w:tcPr>
            <w:tcW w:w="1780" w:type="dxa"/>
          </w:tcPr>
          <w:p>
            <w:pPr/>
            <w:r>
              <w:t xml:space="preserve">Strategic lens (legacy intent)</w:t>
            </w:r>
          </w:p>
        </w:tc>
      </w:tr>
      <w:tr>
        <w:tc>
          <w:tcPr>
            <w:tcW w:w="3091" w:type="dxa"/>
          </w:tcPr>
          <w:p>
            <w:pPr/>
            <w:r>
              <w:t xml:space="preserve">Connects to your MFP plan</w:t>
            </w:r>
          </w:p>
        </w:tc>
        <w:tc>
          <w:tcPr>
            <w:tcW w:w="4489" w:type="dxa"/>
          </w:tcPr>
          <w:p>
            <w:pPr/>
            <w:r>
              <w:t xml:space="preserve">For MFP farms, the action or priority area it supports; for others, a pointer to MFP</w:t>
            </w:r>
          </w:p>
        </w:tc>
        <w:tc>
          <w:tcPr>
            <w:tcW w:w="1780" w:type="dxa"/>
          </w:tcPr>
          <w:p>
            <w:pPr/>
            <w:r>
              <w:t xml:space="preserve">Action plan</w:t>
            </w:r>
          </w:p>
        </w:tc>
      </w:tr>
      <w:tr>
        <w:tc>
          <w:tcPr>
            <w:tcW w:w="3091" w:type="dxa"/>
          </w:tcPr>
          <w:p>
            <w:pPr/>
            <w:r>
              <w:t xml:space="preserve">Next step</w:t>
            </w:r>
          </w:p>
        </w:tc>
        <w:tc>
          <w:tcPr>
            <w:tcW w:w="4489" w:type="dxa"/>
          </w:tcPr>
          <w:p>
            <w:pPr/>
            <w:r>
              <w:t xml:space="preserve">First whole farm, then enterprise; a question or a check</w:t>
            </w:r>
          </w:p>
        </w:tc>
        <w:tc>
          <w:tcPr>
            <w:tcW w:w="1780" w:type="dxa"/>
          </w:tcPr>
          <w:p>
            <w:pPr/>
            <w:r>
              <w:t xml:space="preserve">Reasoning</w:t>
            </w:r>
          </w:p>
        </w:tc>
      </w:tr>
      <w:tr>
        <w:tc>
          <w:tcPr>
            <w:tcW w:w="3091" w:type="dxa"/>
          </w:tcPr>
          <w:p>
            <w:pPr/>
            <w:r>
              <w:t xml:space="preserve">Sources and confidence</w:t>
            </w:r>
          </w:p>
        </w:tc>
        <w:tc>
          <w:tcPr>
            <w:tcW w:w="4489" w:type="dxa"/>
          </w:tcPr>
          <w:p>
            <w:pPr/>
            <w:r>
              <w:t xml:space="preserve">Source, date, tier, independence, confidence</w:t>
            </w:r>
          </w:p>
        </w:tc>
        <w:tc>
          <w:tcPr>
            <w:tcW w:w="1780" w:type="dxa"/>
          </w:tcPr>
          <w:p>
            <w:pPr/>
            <w:r>
              <w:t xml:space="preserve">Retrieval record</w:t>
            </w:r>
          </w:p>
        </w:tc>
      </w:tr>
    </w:tbl>
    <w:p>
      <w:pPr/>
      <w:r>
        <w:rPr>
          <w:b/>
        </w:rPr>
        <w:t xml:space="preserve">Worked example (illustrative; bracketed values are placeholders)</w:t>
      </w:r>
    </w:p>
    <w:p>
      <w:pPr/>
      <w:r>
        <w:t xml:space="preserve">Trigger: a trade action affecting soybean exports, for the sample farm in the MFP SWOT, which runs row crops, cow-calf, a seed dealership, diesel repair, and custom planting and harvest.</w:t>
      </w:r>
    </w:p>
    <w:p>
      <w:pPr>
        <w:pStyle w:val="Code"/>
      </w:pPr>
      <w:bookmarkStart w:id="2" w:name="bongo_lang_markdown_2"/>
      <w:bookmarkEnd w:id="2"/>
      <w:r>
        <w:t xml:space="preserve">Soybean export demand: a trade action changes the outlook</w:t>
        <w:br/>
        <w:t xml:space="preserve">Relevance: High (soybeans are one of five enterprises)</w:t>
        <w:br/>
        <w:br/>
        <w:t xml:space="preserve">What changed</w:t>
        <w:br/>
        <w:t xml:space="preserve">[Trade action] on [product and countries] was announced [date] (source, date).</w:t>
        <w:br/>
        <w:br/>
        <w:t xml:space="preserve">The lay of the land</w:t>
        <w:br/>
        <w:t xml:space="preserve">The Geopolitics brief, built on MFP's Future State material, treats tariff turbulence and</w:t>
        <w:br/>
        <w:t xml:space="preserve">trade-pattern shifts as a multi-year pattern, so this is part of a trend.</w:t>
        <w:br/>
        <w:br/>
        <w:t xml:space="preserve">Near term (next 1 to 2 seasons)</w:t>
        <w:br/>
        <w:t xml:space="preserve">Soybean price and basis may soften. If [x]% of the crop is unpriced, gross income could</w:t>
        <w:br/>
        <w:t xml:space="preserve">change by roughly [low] to [high]. The farm does not yet track profit by enterprise, so</w:t>
        <w:br/>
        <w:t xml:space="preserve">this is an estimate from typical costs, not the farm's own numbers.</w:t>
        <w:br/>
        <w:br/>
        <w:t xml:space="preserve">Longer term (3 to 10 years)</w:t>
        <w:br/>
        <w:t xml:space="preserve">Export access is likely to stay uncertain, which favors flexibility in acres and more use</w:t>
        <w:br/>
        <w:t xml:space="preserve">of grain and soybeans through the herd.</w:t>
        <w:br/>
        <w:br/>
        <w:t xml:space="preserve">Whole-farm check</w:t>
        <w:br/>
        <w:t xml:space="preserve">Soybeans are one of five enterprises. Cow-calf, the dealership, and custom work may cushion</w:t>
        <w:br/>
        <w:t xml:space="preserve">cash flow. Settle first how much of the farm's total margin to protect before changing any</w:t>
        <w:br/>
        <w:t xml:space="preserve">one enterprise.</w:t>
        <w:br/>
        <w:br/>
        <w:t xml:space="preserve">Opportunity and threat</w:t>
        <w:br/>
        <w:t xml:space="preserve">Opportunity: use more of the farm's own grain through the herd; custom work tends to rise</w:t>
        <w:br/>
        <w:t xml:space="preserve">when neighbors defer equipment purchases. Threat: a squeeze on soybean margins.</w:t>
        <w:br/>
        <w:br/>
        <w:t xml:space="preserve">Legacy view</w:t>
        <w:br/>
        <w:t xml:space="preserve">A steady, diversified income base is part of what the next generation inherits.</w:t>
        <w:br/>
        <w:t xml:space="preserve">This change calls for protecting total margin across the herd, dealership, and custom</w:t>
        <w:br/>
        <w:t xml:space="preserve">work, not chasing a single enterprise.</w:t>
        <w:br/>
        <w:br/>
        <w:t xml:space="preserve">Connects to your MFP plan</w:t>
        <w:br/>
        <w:t xml:space="preserve">This supports the Financial Analysis action to calculate profit by enterprise.</w:t>
        <w:br/>
        <w:br/>
        <w:t xml:space="preserve">Next step</w:t>
        <w:br/>
        <w:t xml:space="preserve">First, whole farm: decide how much of total margin to protect this season.</w:t>
        <w:br/>
        <w:t xml:space="preserve">Then, enterprise: check how many soybean acres are unpriced and what the herd could use.</w:t>
        <w:br/>
        <w:br/>
        <w:t xml:space="preserve">Sources and confidence</w:t>
        <w:br/>
        <w:t xml:space="preserve">[Primary notice, date]; Geopolitics brief [date]. Confidence: Medium on direction, Low on</w:t>
        <w:br/>
        <w:t xml:space="preserve">size until enterprise-level costs are known.</w:t>
      </w:r>
    </w:p>
    <w:p>
      <w:pPr>
        <w:pStyle w:val="Heading2"/>
      </w:pPr>
      <w:r>
        <w:t xml:space="preserve">Retrieval on demand</w:t>
      </w:r>
    </w:p>
    <w:p>
      <w:pPr/>
      <w:r>
        <w:t xml:space="preserve">The system keeps small records and pulls data only when a trigger needs it, so there is no large data store to run or keep current.</w:t>
      </w:r>
    </w:p>
    <w:p>
      <w:pPr/>
      <w:r>
        <w:rPr>
          <w:b/>
        </w:rPr>
        <w:t xml:space="preserve">Rules for the Retrieval Agent</w:t>
      </w:r>
    </w:p>
    <w:p>
      <w:pPr>
        <w:pStyle w:val="ListParagraph"/>
        <w:numPr>
          <w:ilvl w:val="0"/>
          <w:numId w:val="10"/>
        </w:numPr>
      </w:pPr>
      <w:r>
        <w:t xml:space="preserve">Check the driver brief and any synthesized source first. Stop if they answer the question.</w:t>
      </w:r>
    </w:p>
    <w:p>
      <w:pPr>
        <w:pStyle w:val="ListParagraph"/>
        <w:numPr>
          <w:ilvl w:val="0"/>
          <w:numId w:val="10"/>
        </w:numPr>
      </w:pPr>
      <w:r>
        <w:t xml:space="preserve">Go to the primary database only for a current value, a gap, or a verification.</w:t>
      </w:r>
    </w:p>
    <w:p>
      <w:pPr>
        <w:pStyle w:val="ListParagraph"/>
        <w:numPr>
          <w:ilvl w:val="0"/>
          <w:numId w:val="10"/>
        </w:numPr>
      </w:pPr>
      <w:r>
        <w:t xml:space="preserve">Set a call budget per update (for example, five primary calls). If the budget runs out, say what could not be confirmed.</w:t>
      </w:r>
    </w:p>
    <w:p>
      <w:pPr>
        <w:pStyle w:val="ListParagraph"/>
        <w:numPr>
          <w:ilvl w:val="0"/>
          <w:numId w:val="10"/>
        </w:numPr>
      </w:pPr>
      <w:r>
        <w:t xml:space="preserve">Cache results briefly (table below). Do not keep raw feeds; keep only the figures cited in the update record.</w:t>
      </w:r>
    </w:p>
    <w:p>
      <w:pPr>
        <w:pStyle w:val="ListParagraph"/>
        <w:numPr>
          <w:ilvl w:val="0"/>
          <w:numId w:val="10"/>
        </w:numPr>
      </w:pPr>
      <w:r>
        <w:t xml:space="preserve">Verify a number before it appears in a headline, when it drives an impact estimate above [x]%, when it has a single source, or when it comes from an advocacy or news source.</w:t>
      </w:r>
    </w:p>
    <w:p>
      <w:pPr>
        <w:pStyle w:val="ListParagraph"/>
        <w:numPr>
          <w:ilvl w:val="0"/>
          <w:numId w:val="10"/>
        </w:numPr>
      </w:pPr>
      <w:r>
        <w:t xml:space="preserve">Use the registry's origin and root fields to count independent sources. Sources that rest on the same root count as one signal.</w:t>
      </w:r>
    </w:p>
    <w:p>
      <w:pPr>
        <w:pStyle w:val="ListParagraph"/>
        <w:numPr>
          <w:ilvl w:val="0"/>
          <w:numId w:val="10"/>
        </w:numPr>
      </w:pPr>
      <w:r>
        <w:t xml:space="preserve">When sources conflict, report the divergence and the likely reasons (timing, definition, new information, error) instead of averaging.</w:t>
      </w:r>
    </w:p>
    <w:tbl>
      <w:tblPr>
        <w:tblStyle w:val="TableGrid"/>
        <w:tblW w:w="0" w:type="auto"/>
        <w:tblLayout w:type="fixed"/>
        <w:tblLook w:val="04A0" w:firstRow="1" w:lastRow="0" w:firstColumn="0" w:lastColumn="0" w:noHBand="0" w:noVBand="1"/>
      </w:tblPr>
      <w:tblGrid>
        <w:gridCol w:w="1884"/>
        <w:gridCol w:w="2849"/>
        <w:gridCol w:w="2004"/>
        <w:gridCol w:w="2623"/>
      </w:tblGrid>
      <w:tr>
        <w:trPr>
          <w:tblHeader/>
        </w:trPr>
        <w:tc>
          <w:tcPr>
            <w:tcW w:w="1884" w:type="dxa"/>
            <w:shd w:val="clear" w:color="auto" w:fill="F2F2F2"/>
          </w:tcPr>
          <w:p>
            <w:pPr/>
            <w:r>
              <w:t xml:space="preserve">Data type</w:t>
            </w:r>
          </w:p>
        </w:tc>
        <w:tc>
          <w:tcPr>
            <w:tcW w:w="2849" w:type="dxa"/>
            <w:shd w:val="clear" w:color="auto" w:fill="F2F2F2"/>
          </w:tcPr>
          <w:p>
            <w:pPr/>
            <w:r>
              <w:t xml:space="preserve">First place to look</w:t>
            </w:r>
          </w:p>
        </w:tc>
        <w:tc>
          <w:tcPr>
            <w:tcW w:w="2004" w:type="dxa"/>
            <w:shd w:val="clear" w:color="auto" w:fill="F2F2F2"/>
          </w:tcPr>
          <w:p>
            <w:pPr/>
            <w:r>
              <w:t xml:space="preserve">Starting cache life</w:t>
            </w:r>
          </w:p>
        </w:tc>
        <w:tc>
          <w:tcPr>
            <w:tcW w:w="2623" w:type="dxa"/>
            <w:shd w:val="clear" w:color="auto" w:fill="F2F2F2"/>
          </w:tcPr>
          <w:p>
            <w:pPr/>
            <w:r>
              <w:t xml:space="preserve">Verify when</w:t>
            </w:r>
          </w:p>
        </w:tc>
      </w:tr>
      <w:tr>
        <w:tc>
          <w:tcPr>
            <w:tcW w:w="1884" w:type="dxa"/>
          </w:tcPr>
          <w:p>
            <w:pPr/>
            <w:r>
              <w:t xml:space="preserve">Driver context</w:t>
            </w:r>
          </w:p>
        </w:tc>
        <w:tc>
          <w:tcPr>
            <w:tcW w:w="2849" w:type="dxa"/>
          </w:tcPr>
          <w:p>
            <w:pPr/>
            <w:r>
              <w:t xml:space="preserve">Driver brief</w:t>
            </w:r>
          </w:p>
        </w:tc>
        <w:tc>
          <w:tcPr>
            <w:tcW w:w="2004" w:type="dxa"/>
          </w:tcPr>
          <w:p>
            <w:pPr/>
            <w:r>
              <w:t xml:space="preserve">Until the brief is refreshed</w:t>
            </w:r>
          </w:p>
        </w:tc>
        <w:tc>
          <w:tcPr>
            <w:tcW w:w="2623" w:type="dxa"/>
          </w:tcPr>
          <w:p>
            <w:pPr/>
            <w:r>
              <w:t xml:space="preserve">A confirmed trigger contradicts it</w:t>
            </w:r>
          </w:p>
        </w:tc>
      </w:tr>
      <w:tr>
        <w:tc>
          <w:tcPr>
            <w:tcW w:w="1884" w:type="dxa"/>
          </w:tcPr>
          <w:p>
            <w:pPr/>
            <w:r>
              <w:t xml:space="preserve">Market prices</w:t>
            </w:r>
          </w:p>
        </w:tc>
        <w:tc>
          <w:tcPr>
            <w:tcW w:w="2849" w:type="dxa"/>
          </w:tcPr>
          <w:p>
            <w:pPr/>
            <w:r>
              <w:t xml:space="preserve">Price summary or primary market feed</w:t>
            </w:r>
          </w:p>
        </w:tc>
        <w:tc>
          <w:tcPr>
            <w:tcW w:w="2004" w:type="dxa"/>
          </w:tcPr>
          <w:p>
            <w:pPr/>
            <w:r>
              <w:t xml:space="preserve">Minutes to hours</w:t>
            </w:r>
          </w:p>
        </w:tc>
        <w:tc>
          <w:tcPr>
            <w:tcW w:w="2623" w:type="dxa"/>
          </w:tcPr>
          <w:p>
            <w:pPr/>
            <w:r>
              <w:t xml:space="preserve">The move would be a headline</w:t>
            </w:r>
          </w:p>
        </w:tc>
      </w:tr>
      <w:tr>
        <w:tc>
          <w:tcPr>
            <w:tcW w:w="1884" w:type="dxa"/>
          </w:tcPr>
          <w:p>
            <w:pPr/>
            <w:r>
              <w:t xml:space="preserve">Policy and rule status</w:t>
            </w:r>
          </w:p>
        </w:tc>
        <w:tc>
          <w:tcPr>
            <w:tcW w:w="2849" w:type="dxa"/>
          </w:tcPr>
          <w:p>
            <w:pPr/>
            <w:r>
              <w:t xml:space="preserve">Official record (Federal Register, Congress.gov, agency notice)</w:t>
            </w:r>
          </w:p>
        </w:tc>
        <w:tc>
          <w:tcPr>
            <w:tcW w:w="2004" w:type="dxa"/>
          </w:tcPr>
          <w:p>
            <w:pPr/>
            <w:r>
              <w:t xml:space="preserve">Until the status changes</w:t>
            </w:r>
          </w:p>
        </w:tc>
        <w:tc>
          <w:tcPr>
            <w:tcW w:w="2623" w:type="dxa"/>
          </w:tcPr>
          <w:p>
            <w:pPr/>
            <w:r>
              <w:t xml:space="preserve">Always, for High and Urgent items</w:t>
            </w:r>
          </w:p>
        </w:tc>
      </w:tr>
      <w:tr>
        <w:tc>
          <w:tcPr>
            <w:tcW w:w="1884" w:type="dxa"/>
          </w:tcPr>
          <w:p>
            <w:pPr/>
            <w:r>
              <w:t xml:space="preserve">Weather and drought</w:t>
            </w:r>
          </w:p>
        </w:tc>
        <w:tc>
          <w:tcPr>
            <w:tcW w:w="2849" w:type="dxa"/>
          </w:tcPr>
          <w:p>
            <w:pPr/>
            <w:r>
              <w:t xml:space="preserve">National forecast and drought sources</w:t>
            </w:r>
          </w:p>
        </w:tc>
        <w:tc>
          <w:tcPr>
            <w:tcW w:w="2004" w:type="dxa"/>
          </w:tcPr>
          <w:p>
            <w:pPr/>
            <w:r>
              <w:t xml:space="preserve">Hours to a day</w:t>
            </w:r>
          </w:p>
        </w:tc>
        <w:tc>
          <w:tcPr>
            <w:tcW w:w="2623" w:type="dxa"/>
          </w:tcPr>
          <w:p>
            <w:pPr/>
            <w:r>
              <w:t xml:space="preserve">An extreme-event or yield-range claim</w:t>
            </w:r>
          </w:p>
        </w:tc>
      </w:tr>
      <w:tr>
        <w:tc>
          <w:tcPr>
            <w:tcW w:w="1884" w:type="dxa"/>
          </w:tcPr>
          <w:p>
            <w:pPr/>
            <w:r>
              <w:t xml:space="preserve">Trade and tariff actions</w:t>
            </w:r>
          </w:p>
        </w:tc>
        <w:tc>
          <w:tcPr>
            <w:tcW w:w="2849" w:type="dxa"/>
          </w:tcPr>
          <w:p>
            <w:pPr/>
            <w:r>
              <w:t xml:space="preserve">Official trade notices</w:t>
            </w:r>
          </w:p>
        </w:tc>
        <w:tc>
          <w:tcPr>
            <w:tcW w:w="2004" w:type="dxa"/>
          </w:tcPr>
          <w:p>
            <w:pPr/>
            <w:r>
              <w:t xml:space="preserve">Until the action changes</w:t>
            </w:r>
          </w:p>
        </w:tc>
        <w:tc>
          <w:tcPr>
            <w:tcW w:w="2623" w:type="dxa"/>
          </w:tcPr>
          <w:p>
            <w:pPr/>
            <w:r>
              <w:t xml:space="preserve">Always</w:t>
            </w:r>
          </w:p>
        </w:tc>
      </w:tr>
      <w:tr>
        <w:tc>
          <w:tcPr>
            <w:tcW w:w="1884" w:type="dxa"/>
          </w:tcPr>
          <w:p>
            <w:pPr/>
            <w:r>
              <w:t xml:space="preserve">Annual and slow statistics</w:t>
            </w:r>
          </w:p>
        </w:tc>
        <w:tc>
          <w:tcPr>
            <w:tcW w:w="2849" w:type="dxa"/>
          </w:tcPr>
          <w:p>
            <w:pPr/>
            <w:r>
              <w:t xml:space="preserve">Agency outlook or summary</w:t>
            </w:r>
          </w:p>
        </w:tc>
        <w:tc>
          <w:tcPr>
            <w:tcW w:w="2004" w:type="dxa"/>
          </w:tcPr>
          <w:p>
            <w:pPr/>
            <w:r>
              <w:t xml:space="preserve">Days to weeks</w:t>
            </w:r>
          </w:p>
        </w:tc>
        <w:tc>
          <w:tcPr>
            <w:tcW w:w="2623" w:type="dxa"/>
          </w:tcPr>
          <w:p>
            <w:pPr/>
            <w:r>
              <w:t xml:space="preserve">The number sets a long-term claim</w:t>
            </w:r>
          </w:p>
        </w:tc>
      </w:tr>
      <w:tr>
        <w:tc>
          <w:tcPr>
            <w:tcW w:w="1884" w:type="dxa"/>
          </w:tcPr>
          <w:p>
            <w:pPr/>
            <w:r>
              <w:t xml:space="preserve">Diversification path facts</w:t>
            </w:r>
          </w:p>
        </w:tc>
        <w:tc>
          <w:tcPr>
            <w:tcW w:w="2849" w:type="dxa"/>
          </w:tcPr>
          <w:p>
            <w:pPr/>
            <w:r>
              <w:t xml:space="preserve">MFP diversification library</w:t>
            </w:r>
          </w:p>
        </w:tc>
        <w:tc>
          <w:tcPr>
            <w:tcW w:w="2004" w:type="dxa"/>
          </w:tcPr>
          <w:p>
            <w:pPr/>
            <w:r>
              <w:t xml:space="preserve">Until the library is updated</w:t>
            </w:r>
          </w:p>
        </w:tc>
        <w:tc>
          <w:tcPr>
            <w:tcW w:w="2623" w:type="dxa"/>
          </w:tcPr>
          <w:p>
            <w:pPr/>
            <w:r>
              <w:t xml:space="preserve">A trigger says viability changed</w:t>
            </w:r>
          </w:p>
        </w:tc>
      </w:tr>
    </w:tbl>
    <w:p>
      <w:pPr>
        <w:pStyle w:val="Heading2"/>
      </w:pPr>
      <w:r>
        <w:t xml:space="preserve">Agents and responsibilities</w:t>
      </w:r>
    </w:p>
    <w:p>
      <w:pPr/>
      <w:r>
        <w:t xml:space="preserve">Nine agents split the work. Each has a narrow job and a limited view of the data, which keeps each easy to test.</w:t>
      </w:r>
    </w:p>
    <w:tbl>
      <w:tblPr>
        <w:tblStyle w:val="TableGrid"/>
        <w:tblW w:w="0" w:type="auto"/>
        <w:tblLayout w:type="fixed"/>
        <w:tblLook w:val="04A0" w:firstRow="1" w:lastRow="0" w:firstColumn="0" w:lastColumn="0" w:noHBand="0" w:noVBand="1"/>
      </w:tblPr>
      <w:tblGrid>
        <w:gridCol w:w="1503"/>
        <w:gridCol w:w="2721"/>
        <w:gridCol w:w="1860"/>
        <w:gridCol w:w="1550"/>
        <w:gridCol w:w="1726"/>
      </w:tblGrid>
      <w:tr>
        <w:trPr>
          <w:tblHeader/>
        </w:trPr>
        <w:tc>
          <w:tcPr>
            <w:tcW w:w="1503" w:type="dxa"/>
            <w:shd w:val="clear" w:color="auto" w:fill="F2F2F2"/>
          </w:tcPr>
          <w:p>
            <w:pPr/>
            <w:r>
              <w:t xml:space="preserve">Agent</w:t>
            </w:r>
          </w:p>
        </w:tc>
        <w:tc>
          <w:tcPr>
            <w:tcW w:w="2721" w:type="dxa"/>
            <w:shd w:val="clear" w:color="auto" w:fill="F2F2F2"/>
          </w:tcPr>
          <w:p>
            <w:pPr/>
            <w:r>
              <w:t xml:space="preserve">Job</w:t>
            </w:r>
          </w:p>
        </w:tc>
        <w:tc>
          <w:tcPr>
            <w:tcW w:w="1860" w:type="dxa"/>
            <w:shd w:val="clear" w:color="auto" w:fill="F2F2F2"/>
          </w:tcPr>
          <w:p>
            <w:pPr/>
            <w:r>
              <w:t xml:space="preserve">Reads</w:t>
            </w:r>
          </w:p>
        </w:tc>
        <w:tc>
          <w:tcPr>
            <w:tcW w:w="1550" w:type="dxa"/>
            <w:shd w:val="clear" w:color="auto" w:fill="F2F2F2"/>
          </w:tcPr>
          <w:p>
            <w:pPr/>
            <w:r>
              <w:t xml:space="preserve">Writes</w:t>
            </w:r>
          </w:p>
        </w:tc>
        <w:tc>
          <w:tcPr>
            <w:tcW w:w="1726" w:type="dxa"/>
            <w:shd w:val="clear" w:color="auto" w:fill="F2F2F2"/>
          </w:tcPr>
          <w:p>
            <w:pPr/>
            <w:r>
              <w:t xml:space="preserve">Key guardrail</w:t>
            </w:r>
          </w:p>
        </w:tc>
      </w:tr>
      <w:tr>
        <w:tc>
          <w:tcPr>
            <w:tcW w:w="1503" w:type="dxa"/>
          </w:tcPr>
          <w:p>
            <w:pPr/>
            <w:r>
              <w:t xml:space="preserve">Orchestrator</w:t>
            </w:r>
          </w:p>
        </w:tc>
        <w:tc>
          <w:tcPr>
            <w:tcW w:w="2721" w:type="dxa"/>
          </w:tcPr>
          <w:p>
            <w:pPr/>
            <w:r>
              <w:t xml:space="preserve">Runs the flow from trigger to delivery, enforces budgets and order</w:t>
            </w:r>
          </w:p>
        </w:tc>
        <w:tc>
          <w:tcPr>
            <w:tcW w:w="1860" w:type="dxa"/>
          </w:tcPr>
          <w:p>
            <w:pPr/>
            <w:r>
              <w:t xml:space="preserve">Trigger queue, rules</w:t>
            </w:r>
          </w:p>
        </w:tc>
        <w:tc>
          <w:tcPr>
            <w:tcW w:w="1550" w:type="dxa"/>
          </w:tcPr>
          <w:p>
            <w:pPr/>
            <w:r>
              <w:t xml:space="preserve">Task assignments</w:t>
            </w:r>
          </w:p>
        </w:tc>
        <w:tc>
          <w:tcPr>
            <w:tcW w:w="1726" w:type="dxa"/>
          </w:tcPr>
          <w:p>
            <w:pPr/>
            <w:r>
              <w:t xml:space="preserve">Never skips verification or review steps</w:t>
            </w:r>
          </w:p>
        </w:tc>
      </w:tr>
      <w:tr>
        <w:tc>
          <w:tcPr>
            <w:tcW w:w="1503" w:type="dxa"/>
          </w:tcPr>
          <w:p>
            <w:pPr/>
            <w:r>
              <w:t xml:space="preserve">Lens Agent</w:t>
            </w:r>
          </w:p>
        </w:tc>
        <w:tc>
          <w:tcPr>
            <w:tcW w:w="2721" w:type="dxa"/>
          </w:tcPr>
          <w:p>
            <w:pPr/>
            <w:r>
              <w:t xml:space="preserve">Builds each farm's strategic lens and watch profile from profile answers, operation characteristics, and MFP results; computes priority weights; assembles the draft strategy statement</w:t>
            </w:r>
          </w:p>
        </w:tc>
        <w:tc>
          <w:tcPr>
            <w:tcW w:w="1860" w:type="dxa"/>
          </w:tcPr>
          <w:p>
            <w:pPr/>
            <w:r>
              <w:t xml:space="preserve">Profile answers and operation characteristics; for MFP farms, assessment, SWOT, action plan, Strategic Vision output</w:t>
            </w:r>
          </w:p>
        </w:tc>
        <w:tc>
          <w:tcPr>
            <w:tcW w:w="1550" w:type="dxa"/>
          </w:tcPr>
          <w:p>
            <w:pPr/>
            <w:r>
              <w:t xml:space="preserve">Strategic lens, watch profile</w:t>
            </w:r>
          </w:p>
        </w:tc>
        <w:tc>
          <w:tcPr>
            <w:tcW w:w="1726" w:type="dxa"/>
          </w:tcPr>
          <w:p>
            <w:pPr/>
            <w:r>
              <w:t xml:space="preserve">Flags missing or inconsistent inputs instead of guessing; keeps the draft strategy labeled until the farmer confirms it</w:t>
            </w:r>
          </w:p>
        </w:tc>
      </w:tr>
      <w:tr>
        <w:tc>
          <w:tcPr>
            <w:tcW w:w="1503" w:type="dxa"/>
          </w:tcPr>
          <w:p>
            <w:pPr/>
            <w:r>
              <w:t xml:space="preserve">Driver Synthesis Agent</w:t>
            </w:r>
          </w:p>
        </w:tc>
        <w:tc>
          <w:tcPr>
            <w:tcW w:w="2721" w:type="dxa"/>
          </w:tcPr>
          <w:p>
            <w:pPr/>
            <w:r>
              <w:t xml:space="preserve">Writes and refreshes driver briefs</w:t>
            </w:r>
          </w:p>
        </w:tc>
        <w:tc>
          <w:tcPr>
            <w:tcW w:w="1860" w:type="dxa"/>
          </w:tcPr>
          <w:p>
            <w:pPr/>
            <w:r>
              <w:t xml:space="preserve">Tier 0 and 1 sources, primary data as needed</w:t>
            </w:r>
          </w:p>
        </w:tc>
        <w:tc>
          <w:tcPr>
            <w:tcW w:w="1550" w:type="dxa"/>
          </w:tcPr>
          <w:p>
            <w:pPr/>
            <w:r>
              <w:t xml:space="preserve">Driver briefs</w:t>
            </w:r>
          </w:p>
        </w:tc>
        <w:tc>
          <w:tcPr>
            <w:tcW w:w="1726" w:type="dxa"/>
          </w:tcPr>
          <w:p>
            <w:pPr/>
            <w:r>
              <w:t xml:space="preserve">Person reviews every brief before it goes live</w:t>
            </w:r>
          </w:p>
        </w:tc>
      </w:tr>
      <w:tr>
        <w:tc>
          <w:tcPr>
            <w:tcW w:w="1503" w:type="dxa"/>
          </w:tcPr>
          <w:p>
            <w:pPr/>
            <w:r>
              <w:t xml:space="preserve">Trigger Monitor Agents</w:t>
            </w:r>
          </w:p>
        </w:tc>
        <w:tc>
          <w:tcPr>
            <w:tcW w:w="2721" w:type="dxa"/>
          </w:tcPr>
          <w:p>
            <w:pPr/>
            <w:r>
              <w:t xml:space="preserve">Watch the detection feeds, detect triggers (including a policy monitor that tracks each item's stage), match to farms, score relevance</w:t>
            </w:r>
          </w:p>
        </w:tc>
        <w:tc>
          <w:tcPr>
            <w:tcW w:w="1860" w:type="dxa"/>
          </w:tcPr>
          <w:p>
            <w:pPr/>
            <w:r>
              <w:t xml:space="preserve">Detection feeds, trigger rules, watch profiles</w:t>
            </w:r>
          </w:p>
        </w:tc>
        <w:tc>
          <w:tcPr>
            <w:tcW w:w="1550" w:type="dxa"/>
          </w:tcPr>
          <w:p>
            <w:pPr/>
            <w:r>
              <w:t xml:space="preserve">Candidate updates</w:t>
            </w:r>
          </w:p>
        </w:tc>
        <w:tc>
          <w:tcPr>
            <w:tcW w:w="1726" w:type="dxa"/>
          </w:tcPr>
          <w:p>
            <w:pPr/>
            <w:r>
              <w:t xml:space="preserve">Applies the relevance bar and weekly budget</w:t>
            </w:r>
          </w:p>
        </w:tc>
      </w:tr>
      <w:tr>
        <w:tc>
          <w:tcPr>
            <w:tcW w:w="1503" w:type="dxa"/>
          </w:tcPr>
          <w:p>
            <w:pPr/>
            <w:r>
              <w:t xml:space="preserve">Retrieval Agent</w:t>
            </w:r>
          </w:p>
        </w:tc>
        <w:tc>
          <w:tcPr>
            <w:tcW w:w="2721" w:type="dxa"/>
          </w:tcPr>
          <w:p>
            <w:pPr/>
            <w:r>
              <w:t xml:space="preserve">Fetches on demand in tier order, caches, verifies, checks independence</w:t>
            </w:r>
          </w:p>
        </w:tc>
        <w:tc>
          <w:tcPr>
            <w:tcW w:w="1860" w:type="dxa"/>
          </w:tcPr>
          <w:p>
            <w:pPr/>
            <w:r>
              <w:t xml:space="preserve">Source map, briefs, primary database</w:t>
            </w:r>
          </w:p>
        </w:tc>
        <w:tc>
          <w:tcPr>
            <w:tcW w:w="1550" w:type="dxa"/>
          </w:tcPr>
          <w:p>
            <w:pPr/>
            <w:r>
              <w:t xml:space="preserve">Retrieval record</w:t>
            </w:r>
          </w:p>
        </w:tc>
        <w:tc>
          <w:tcPr>
            <w:tcW w:w="1726" w:type="dxa"/>
          </w:tcPr>
          <w:p>
            <w:pPr/>
            <w:r>
              <w:t xml:space="preserve">Stays within the call budget; reports what it could not confirm</w:t>
            </w:r>
          </w:p>
        </w:tc>
      </w:tr>
      <w:tr>
        <w:tc>
          <w:tcPr>
            <w:tcW w:w="1503" w:type="dxa"/>
          </w:tcPr>
          <w:p>
            <w:pPr/>
            <w:r>
              <w:t xml:space="preserve">Impact Analyst</w:t>
            </w:r>
          </w:p>
        </w:tc>
        <w:tc>
          <w:tcPr>
            <w:tcW w:w="2721" w:type="dxa"/>
          </w:tcPr>
          <w:p>
            <w:pPr/>
            <w:r>
              <w:t xml:space="preserve">Reasons about impact on NOI, diversification, and efficiency, and on the legacy goal, near and long term, whole farm first</w:t>
            </w:r>
          </w:p>
        </w:tc>
        <w:tc>
          <w:tcPr>
            <w:tcW w:w="1860" w:type="dxa"/>
          </w:tcPr>
          <w:p>
            <w:pPr/>
            <w:r>
              <w:t xml:space="preserve">Retrieval record, brief, strategic lens</w:t>
            </w:r>
          </w:p>
        </w:tc>
        <w:tc>
          <w:tcPr>
            <w:tcW w:w="1550" w:type="dxa"/>
          </w:tcPr>
          <w:p>
            <w:pPr/>
            <w:r>
              <w:t xml:space="preserve">Impact assessment</w:t>
            </w:r>
          </w:p>
        </w:tc>
        <w:tc>
          <w:tcPr>
            <w:tcW w:w="1726" w:type="dxa"/>
          </w:tcPr>
          <w:p>
            <w:pPr/>
            <w:r>
              <w:t xml:space="preserve">Gives ranges and confidence, never a single forecast</w:t>
            </w:r>
          </w:p>
        </w:tc>
      </w:tr>
      <w:tr>
        <w:tc>
          <w:tcPr>
            <w:tcW w:w="1503" w:type="dxa"/>
          </w:tcPr>
          <w:p>
            <w:pPr/>
            <w:r>
              <w:t xml:space="preserve">Update Composer</w:t>
            </w:r>
          </w:p>
        </w:tc>
        <w:tc>
          <w:tcPr>
            <w:tcW w:w="2721" w:type="dxa"/>
          </w:tcPr>
          <w:p>
            <w:pPr/>
            <w:r>
              <w:t xml:space="preserve">Writes the update in the fixed structure and plain language</w:t>
            </w:r>
          </w:p>
        </w:tc>
        <w:tc>
          <w:tcPr>
            <w:tcW w:w="1860" w:type="dxa"/>
          </w:tcPr>
          <w:p>
            <w:pPr/>
            <w:r>
              <w:t xml:space="preserve">Impact assessment</w:t>
            </w:r>
          </w:p>
        </w:tc>
        <w:tc>
          <w:tcPr>
            <w:tcW w:w="1550" w:type="dxa"/>
          </w:tcPr>
          <w:p>
            <w:pPr/>
            <w:r>
              <w:t xml:space="preserve">Draft update</w:t>
            </w:r>
          </w:p>
        </w:tc>
        <w:tc>
          <w:tcPr>
            <w:tcW w:w="1726" w:type="dxa"/>
          </w:tcPr>
          <w:p>
            <w:pPr/>
            <w:r>
              <w:t xml:space="preserve">Uses only figures from the retrieval record</w:t>
            </w:r>
          </w:p>
        </w:tc>
      </w:tr>
      <w:tr>
        <w:tc>
          <w:tcPr>
            <w:tcW w:w="1503" w:type="dxa"/>
          </w:tcPr>
          <w:p>
            <w:pPr/>
            <w:r>
              <w:t xml:space="preserve">Review Agent</w:t>
            </w:r>
          </w:p>
        </w:tc>
        <w:tc>
          <w:tcPr>
            <w:tcW w:w="2721" w:type="dxa"/>
          </w:tcPr>
          <w:p>
            <w:pPr/>
            <w:r>
              <w:t xml:space="preserve">Checks claims against sources, tone, banned content, duplicates; routes high-stakes items to a person</w:t>
            </w:r>
          </w:p>
        </w:tc>
        <w:tc>
          <w:tcPr>
            <w:tcW w:w="1860" w:type="dxa"/>
          </w:tcPr>
          <w:p>
            <w:pPr/>
            <w:r>
              <w:t xml:space="preserve">Draft update, retrieval record</w:t>
            </w:r>
          </w:p>
        </w:tc>
        <w:tc>
          <w:tcPr>
            <w:tcW w:w="1550" w:type="dxa"/>
          </w:tcPr>
          <w:p>
            <w:pPr/>
            <w:r>
              <w:t xml:space="preserve">Approved or returned update</w:t>
            </w:r>
          </w:p>
        </w:tc>
        <w:tc>
          <w:tcPr>
            <w:tcW w:w="1726" w:type="dxa"/>
          </w:tcPr>
          <w:p>
            <w:pPr/>
            <w:r>
              <w:t xml:space="preserve">Blocks advice-like language and unsupported numbers</w:t>
            </w:r>
          </w:p>
        </w:tc>
      </w:tr>
      <w:tr>
        <w:tc>
          <w:tcPr>
            <w:tcW w:w="1503" w:type="dxa"/>
          </w:tcPr>
          <w:p>
            <w:pPr/>
            <w:r>
              <w:t xml:space="preserve">Learning Agent</w:t>
            </w:r>
          </w:p>
        </w:tc>
        <w:tc>
          <w:tcPr>
            <w:tcW w:w="2721" w:type="dxa"/>
          </w:tcPr>
          <w:p>
            <w:pPr/>
            <w:r>
              <w:t xml:space="preserve">Logs farmer reactions and outcomes; tunes thresholds and source order</w:t>
            </w:r>
          </w:p>
        </w:tc>
        <w:tc>
          <w:tcPr>
            <w:tcW w:w="1860" w:type="dxa"/>
          </w:tcPr>
          <w:p>
            <w:pPr/>
            <w:r>
              <w:t xml:space="preserve">Update history, feedback</w:t>
            </w:r>
          </w:p>
        </w:tc>
        <w:tc>
          <w:tcPr>
            <w:tcW w:w="1550" w:type="dxa"/>
          </w:tcPr>
          <w:p>
            <w:pPr/>
            <w:r>
              <w:t xml:space="preserve">Rule and threshold proposals</w:t>
            </w:r>
          </w:p>
        </w:tc>
        <w:tc>
          <w:tcPr>
            <w:tcW w:w="1726" w:type="dxa"/>
          </w:tcPr>
          <w:p>
            <w:pPr/>
            <w:r>
              <w:t xml:space="preserve">Changes go through human approval</w:t>
            </w:r>
          </w:p>
        </w:tc>
      </w:tr>
    </w:tbl>
    <w:p>
      <w:pPr>
        <w:pStyle w:val="Heading2"/>
      </w:pPr>
      <w:r>
        <w:t xml:space="preserve">Data records kept</w:t>
      </w:r>
    </w:p>
    <w:p>
      <w:pPr/>
      <w:r>
        <w:t xml:space="preserve">The system stores eight small kinds of record. Everything else is fetched when needed.</w:t>
      </w:r>
    </w:p>
    <w:tbl>
      <w:tblPr>
        <w:tblStyle w:val="TableGrid"/>
        <w:tblW w:w="0" w:type="auto"/>
        <w:tblLayout w:type="fixed"/>
        <w:tblLook w:val="04A0" w:firstRow="1" w:lastRow="0" w:firstColumn="0" w:lastColumn="0" w:noHBand="0" w:noVBand="1"/>
      </w:tblPr>
      <w:tblGrid>
        <w:gridCol w:w="1701"/>
        <w:gridCol w:w="4920"/>
        <w:gridCol w:w="2739"/>
      </w:tblGrid>
      <w:tr>
        <w:trPr>
          <w:tblHeader/>
        </w:trPr>
        <w:tc>
          <w:tcPr>
            <w:tcW w:w="1701" w:type="dxa"/>
            <w:shd w:val="clear" w:color="auto" w:fill="F2F2F2"/>
          </w:tcPr>
          <w:p>
            <w:pPr/>
            <w:r>
              <w:t xml:space="preserve">Record</w:t>
            </w:r>
          </w:p>
        </w:tc>
        <w:tc>
          <w:tcPr>
            <w:tcW w:w="4920" w:type="dxa"/>
            <w:shd w:val="clear" w:color="auto" w:fill="F2F2F2"/>
          </w:tcPr>
          <w:p>
            <w:pPr/>
            <w:r>
              <w:t xml:space="preserve">Key fields</w:t>
            </w:r>
          </w:p>
        </w:tc>
        <w:tc>
          <w:tcPr>
            <w:tcW w:w="2739" w:type="dxa"/>
            <w:shd w:val="clear" w:color="auto" w:fill="F2F2F2"/>
          </w:tcPr>
          <w:p>
            <w:pPr/>
            <w:r>
              <w:t xml:space="preserve">Life</w:t>
            </w:r>
          </w:p>
        </w:tc>
      </w:tr>
      <w:tr>
        <w:tc>
          <w:tcPr>
            <w:tcW w:w="1701" w:type="dxa"/>
          </w:tcPr>
          <w:p>
            <w:pPr/>
            <w:r>
              <w:t xml:space="preserve">Strategic lens</w:t>
            </w:r>
          </w:p>
        </w:tc>
        <w:tc>
          <w:tcPr>
            <w:tcW w:w="4920" w:type="dxa"/>
          </w:tcPr>
          <w:p>
            <w:pPr/>
            <w:r>
              <w:t xml:space="preserve">Layer 1 core profile (location, size, enterprises and income shares, diversification mix, goals, advantage, values, tenure); layer 2 operation characteristics (soil, water, climate zone, acreage and inventory, buyers, marketing, storage, equipment, labor, certifications); layer 3 for MFP farms (scores, priority areas, SWOT, action plan, financial health, Strategic Vision output); strategy status; shortlisted diversification paths; version</w:t>
            </w:r>
          </w:p>
        </w:tc>
        <w:tc>
          <w:tcPr>
            <w:tcW w:w="2739" w:type="dxa"/>
          </w:tcPr>
          <w:p>
            <w:pPr/>
            <w:r>
              <w:t xml:space="preserve">Updated when the farm's answers or MFP results change; versioned</w:t>
            </w:r>
          </w:p>
        </w:tc>
      </w:tr>
      <w:tr>
        <w:tc>
          <w:tcPr>
            <w:tcW w:w="1701" w:type="dxa"/>
          </w:tcPr>
          <w:p>
            <w:pPr/>
            <w:r>
              <w:t xml:space="preserve">Watch profile</w:t>
            </w:r>
          </w:p>
        </w:tc>
        <w:tc>
          <w:tcPr>
            <w:tcW w:w="4920" w:type="dxa"/>
          </w:tcPr>
          <w:p>
            <w:pPr/>
            <w:r>
              <w:t xml:space="preserve">Ranked drivers, commodities, regions, source IDs, detection feeds, thresholds</w:t>
            </w:r>
          </w:p>
        </w:tc>
        <w:tc>
          <w:tcPr>
            <w:tcW w:w="2739" w:type="dxa"/>
          </w:tcPr>
          <w:p>
            <w:pPr/>
            <w:r>
              <w:t xml:space="preserve">Rebuilt when the lens changes</w:t>
            </w:r>
          </w:p>
        </w:tc>
      </w:tr>
      <w:tr>
        <w:tc>
          <w:tcPr>
            <w:tcW w:w="1701" w:type="dxa"/>
          </w:tcPr>
          <w:p>
            <w:pPr/>
            <w:r>
              <w:t xml:space="preserve">Driver brief</w:t>
            </w:r>
          </w:p>
        </w:tc>
        <w:tc>
          <w:tcPr>
            <w:tcW w:w="4920" w:type="dxa"/>
          </w:tcPr>
          <w:p>
            <w:pPr/>
            <w:r>
              <w:t xml:space="preserve">Text, key facts with sources and dates, direction, confidence, indicators, thresholds, review date</w:t>
            </w:r>
          </w:p>
        </w:tc>
        <w:tc>
          <w:tcPr>
            <w:tcW w:w="2739" w:type="dxa"/>
          </w:tcPr>
          <w:p>
            <w:pPr/>
            <w:r>
              <w:t xml:space="preserve">Refreshed on schedule or event</w:t>
            </w:r>
          </w:p>
        </w:tc>
      </w:tr>
      <w:tr>
        <w:tc>
          <w:tcPr>
            <w:tcW w:w="1701" w:type="dxa"/>
          </w:tcPr>
          <w:p>
            <w:pPr/>
            <w:r>
              <w:t xml:space="preserve">Source map</w:t>
            </w:r>
          </w:p>
        </w:tc>
        <w:tc>
          <w:tcPr>
            <w:tcW w:w="4920" w:type="dxa"/>
          </w:tcPr>
          <w:p>
            <w:pPr/>
            <w:r>
              <w:t xml:space="preserve">For each source: ID, tier, cadence, access, origin, root ID, independence, cache life</w:t>
            </w:r>
          </w:p>
        </w:tc>
        <w:tc>
          <w:tcPr>
            <w:tcW w:w="2739" w:type="dxa"/>
          </w:tcPr>
          <w:p>
            <w:pPr/>
            <w:r>
              <w:t xml:space="preserve">Maintained with the registry</w:t>
            </w:r>
          </w:p>
        </w:tc>
      </w:tr>
      <w:tr>
        <w:tc>
          <w:tcPr>
            <w:tcW w:w="1701" w:type="dxa"/>
          </w:tcPr>
          <w:p>
            <w:pPr/>
            <w:r>
              <w:t xml:space="preserve">Trigger rule</w:t>
            </w:r>
          </w:p>
        </w:tc>
        <w:tc>
          <w:tcPr>
            <w:tcW w:w="4920" w:type="dxa"/>
          </w:tcPr>
          <w:p>
            <w:pPr/>
            <w:r>
              <w:t xml:space="preserve">Family, condition, threshold, matching fields, urgency</w:t>
            </w:r>
          </w:p>
        </w:tc>
        <w:tc>
          <w:tcPr>
            <w:tcW w:w="2739" w:type="dxa"/>
          </w:tcPr>
          <w:p>
            <w:pPr/>
            <w:r>
              <w:t xml:space="preserve">Edited by the team</w:t>
            </w:r>
          </w:p>
        </w:tc>
      </w:tr>
      <w:tr>
        <w:tc>
          <w:tcPr>
            <w:tcW w:w="1701" w:type="dxa"/>
          </w:tcPr>
          <w:p>
            <w:pPr/>
            <w:r>
              <w:t xml:space="preserve">Update record</w:t>
            </w:r>
          </w:p>
        </w:tc>
        <w:tc>
          <w:tcPr>
            <w:tcW w:w="4920" w:type="dxa"/>
          </w:tcPr>
          <w:p>
            <w:pPr/>
            <w:r>
              <w:t xml:space="preserve">Trigger, figures cited with sources and dates, assessment, final text, confidence, delivery time</w:t>
            </w:r>
          </w:p>
        </w:tc>
        <w:tc>
          <w:tcPr>
            <w:tcW w:w="2739" w:type="dxa"/>
          </w:tcPr>
          <w:p>
            <w:pPr/>
            <w:r>
              <w:t xml:space="preserve">Kept for history and learning</w:t>
            </w:r>
          </w:p>
        </w:tc>
      </w:tr>
      <w:tr>
        <w:tc>
          <w:tcPr>
            <w:tcW w:w="1701" w:type="dxa"/>
          </w:tcPr>
          <w:p>
            <w:pPr/>
            <w:r>
              <w:t xml:space="preserve">Feedback log</w:t>
            </w:r>
          </w:p>
        </w:tc>
        <w:tc>
          <w:tcPr>
            <w:tcW w:w="4920" w:type="dxa"/>
          </w:tcPr>
          <w:p>
            <w:pPr/>
            <w:r>
              <w:t xml:space="preserve">Farmer reaction, action taken, later outcome</w:t>
            </w:r>
          </w:p>
        </w:tc>
        <w:tc>
          <w:tcPr>
            <w:tcW w:w="2739" w:type="dxa"/>
          </w:tcPr>
          <w:p>
            <w:pPr/>
            <w:r>
              <w:t xml:space="preserve">Kept for learning</w:t>
            </w:r>
          </w:p>
        </w:tc>
      </w:tr>
      <w:tr>
        <w:tc>
          <w:tcPr>
            <w:tcW w:w="1701" w:type="dxa"/>
          </w:tcPr>
          <w:p>
            <w:pPr/>
            <w:r>
              <w:t xml:space="preserve">Cache entry</w:t>
            </w:r>
          </w:p>
        </w:tc>
        <w:tc>
          <w:tcPr>
            <w:tcW w:w="4920" w:type="dxa"/>
          </w:tcPr>
          <w:p>
            <w:pPr/>
            <w:r>
              <w:t xml:space="preserve">A fetched value and its fetch time</w:t>
            </w:r>
          </w:p>
        </w:tc>
        <w:tc>
          <w:tcPr>
            <w:tcW w:w="2739" w:type="dxa"/>
          </w:tcPr>
          <w:p>
            <w:pPr/>
            <w:r>
              <w:t xml:space="preserve">Temporary; expires by data type</w:t>
            </w:r>
          </w:p>
        </w:tc>
      </w:tr>
    </w:tbl>
    <w:p>
      <w:pPr/>
      <w:r>
        <w:rPr>
          <w:b/>
        </w:rPr>
        <w:t xml:space="preserve">Deliberately not stored:</w:t>
      </w:r>
      <w:r>
        <w:t xml:space="preserve"> raw price series, full documents, and bulk primary data. If a number is needed again, it is fetched again. The source registry spreadsheet already holds the source map fields (origin, root ID, independence, cadence, access), so it can seed the source map.</w:t>
      </w:r>
    </w:p>
    <w:p>
      <w:pPr>
        <w:pStyle w:val="Heading2"/>
      </w:pPr>
      <w:r>
        <w:t xml:space="preserve">Guardrails and quality</w:t>
      </w:r>
    </w:p>
    <w:p>
      <w:pPr/>
      <w:r>
        <w:t xml:space="preserve">These rules protect the farmer and MFP's credibility. The Review Agent enforces them, and a person backs it up at launch.</w:t>
      </w:r>
    </w:p>
    <w:p>
      <w:pPr>
        <w:pStyle w:val="ListParagraph"/>
        <w:numPr>
          <w:ilvl w:val="0"/>
          <w:numId w:val="11"/>
        </w:numPr>
      </w:pPr>
      <w:r>
        <w:rPr>
          <w:b/>
        </w:rPr>
        <w:t xml:space="preserve">Numbers come only from retrieved sources.</w:t>
      </w:r>
      <w:r>
        <w:t xml:space="preserve"> The Composer may not state a figure that is not in the retrieval record. Estimates are labeled as estimates and carry a range.</w:t>
      </w:r>
    </w:p>
    <w:p>
      <w:pPr>
        <w:pStyle w:val="ListParagraph"/>
        <w:numPr>
          <w:ilvl w:val="0"/>
          <w:numId w:val="11"/>
        </w:numPr>
      </w:pPr>
      <w:r>
        <w:rPr>
          <w:b/>
        </w:rPr>
        <w:t xml:space="preserve">Provenance on everything.</w:t>
      </w:r>
      <w:r>
        <w:t xml:space="preserve"> Each claim shows source, date, tier, and whether sources are independent. Echoes of one source are reported as one signal.</w:t>
      </w:r>
    </w:p>
    <w:p>
      <w:pPr>
        <w:pStyle w:val="ListParagraph"/>
        <w:numPr>
          <w:ilvl w:val="0"/>
          <w:numId w:val="11"/>
        </w:numPr>
      </w:pPr>
      <w:r>
        <w:rPr>
          <w:b/>
        </w:rPr>
        <w:t xml:space="preserve">Confidence labels.</w:t>
      </w:r>
      <w:r>
        <w:t xml:space="preserve"> High, Medium, or Low, with the reason (data age, source agreement, inference involved).</w:t>
      </w:r>
    </w:p>
    <w:p>
      <w:pPr>
        <w:pStyle w:val="ListParagraph"/>
        <w:numPr>
          <w:ilvl w:val="0"/>
          <w:numId w:val="11"/>
        </w:numPr>
      </w:pPr>
      <w:r>
        <w:rPr>
          <w:b/>
        </w:rPr>
        <w:t xml:space="preserve">Say what is unknown.</w:t>
      </w:r>
      <w:r>
        <w:t xml:space="preserve"> When the farm lacks enterprise-level financials, as the sample SWOT notes, the update says its size estimate is rough and points to the MFP action that fixes it.</w:t>
      </w:r>
    </w:p>
    <w:p>
      <w:pPr>
        <w:pStyle w:val="ListParagraph"/>
        <w:numPr>
          <w:ilvl w:val="0"/>
          <w:numId w:val="11"/>
        </w:numPr>
      </w:pPr>
      <w:r>
        <w:rPr>
          <w:b/>
        </w:rPr>
        <w:t xml:space="preserve">Inform, do not advise.</w:t>
      </w:r>
      <w:r>
        <w:t xml:space="preserve"> No buy, sell, or investment instructions. Updates that touch financial capital paths carry the same "not financial advice" note the reference sheet uses.</w:t>
      </w:r>
    </w:p>
    <w:p>
      <w:pPr>
        <w:pStyle w:val="ListParagraph"/>
        <w:numPr>
          <w:ilvl w:val="0"/>
          <w:numId w:val="11"/>
        </w:numPr>
      </w:pPr>
      <w:r>
        <w:rPr>
          <w:b/>
        </w:rPr>
        <w:t xml:space="preserve">Proposed versus final.</w:t>
      </w:r>
      <w:r>
        <w:t xml:space="preserve"> Policy items state their stage and do not present a proposal as settled.</w:t>
      </w:r>
    </w:p>
    <w:p>
      <w:pPr>
        <w:pStyle w:val="ListParagraph"/>
        <w:numPr>
          <w:ilvl w:val="0"/>
          <w:numId w:val="11"/>
        </w:numPr>
      </w:pPr>
      <w:r>
        <w:rPr>
          <w:b/>
        </w:rPr>
        <w:t xml:space="preserve">Delivery budget.</w:t>
      </w:r>
      <w:r>
        <w:t xml:space="preserve"> A weekly cap on routine updates, with urgent items outside it, and no repeated alerts for the same item; later stages update the same thread.</w:t>
      </w:r>
    </w:p>
    <w:p>
      <w:pPr>
        <w:pStyle w:val="ListParagraph"/>
        <w:numPr>
          <w:ilvl w:val="0"/>
          <w:numId w:val="11"/>
        </w:numPr>
      </w:pPr>
      <w:r>
        <w:rPr>
          <w:b/>
        </w:rPr>
        <w:t xml:space="preserve">Human review.</w:t>
      </w:r>
      <w:r>
        <w:t xml:space="preserve"> At launch a person reviews every Urgent and High update and every new driver brief.</w:t>
      </w:r>
    </w:p>
    <w:p>
      <w:pPr>
        <w:pStyle w:val="ListParagraph"/>
        <w:numPr>
          <w:ilvl w:val="0"/>
          <w:numId w:val="11"/>
        </w:numPr>
      </w:pPr>
      <w:r>
        <w:rPr>
          <w:b/>
        </w:rPr>
        <w:t xml:space="preserve">Privacy.</w:t>
      </w:r>
      <w:r>
        <w:t xml:space="preserve"> Farm data stays within that farm's record; no update or brief reveals another farm's information. Legacy and succession details are especially sensitive: keep them within the farm's record and phrase related updates as questions and options.</w:t>
      </w:r>
    </w:p>
    <w:p>
      <w:pPr>
        <w:pStyle w:val="ListParagraph"/>
        <w:numPr>
          <w:ilvl w:val="0"/>
          <w:numId w:val="11"/>
        </w:numPr>
      </w:pPr>
      <w:r>
        <w:rPr>
          <w:b/>
        </w:rPr>
        <w:t xml:space="preserve">Automated-content warning.</w:t>
      </w:r>
      <w:r>
        <w:t xml:space="preserve"> MFP reports already carry a "verify before use" notice; updates should carry an equivalent line.</w:t>
      </w:r>
    </w:p>
    <w:p>
      <w:pPr>
        <w:pStyle w:val="Heading2"/>
      </w:pPr>
      <w:r>
        <w:t xml:space="preserve">Build plan and open items</w:t>
      </w:r>
    </w:p>
    <w:p>
      <w:pPr/>
      <w:r>
        <w:t xml:space="preserve">Build in thin slices and prove the loop on a few farms before widening.</w:t>
      </w:r>
    </w:p>
    <w:p>
      <w:pPr>
        <w:pStyle w:val="ListParagraph"/>
        <w:numPr>
          <w:ilvl w:val="0"/>
          <w:numId w:val="12"/>
        </w:numPr>
      </w:pPr>
      <w:r>
        <w:rPr>
          <w:b/>
        </w:rPr>
        <w:t xml:space="preserve">Strategic lens and watch profile</w:t>
      </w:r>
      <w:r>
        <w:t xml:space="preserve"> for three to five pilot farms, including the sample farm with five enterprises.</w:t>
      </w:r>
    </w:p>
    <w:p>
      <w:pPr>
        <w:pStyle w:val="ListParagraph"/>
        <w:numPr>
          <w:ilvl w:val="0"/>
          <w:numId w:val="12"/>
        </w:numPr>
      </w:pPr>
      <w:r>
        <w:rPr>
          <w:b/>
        </w:rPr>
        <w:t xml:space="preserve">Driver briefs</w:t>
      </w:r>
      <w:r>
        <w:t xml:space="preserve"> for the three drivers that matter most to those farms, written and reviewed by a person.</w:t>
      </w:r>
    </w:p>
    <w:p>
      <w:pPr>
        <w:pStyle w:val="ListParagraph"/>
        <w:numPr>
          <w:ilvl w:val="0"/>
          <w:numId w:val="12"/>
        </w:numPr>
      </w:pPr>
      <w:r>
        <w:rPr>
          <w:b/>
        </w:rPr>
        <w:t xml:space="preserve">Trigger monitors</w:t>
      </w:r>
      <w:r>
        <w:t xml:space="preserve"> for price and policy first, using the relevance score and weekly budget.</w:t>
      </w:r>
    </w:p>
    <w:p>
      <w:pPr>
        <w:pStyle w:val="ListParagraph"/>
        <w:numPr>
          <w:ilvl w:val="0"/>
          <w:numId w:val="12"/>
        </w:numPr>
      </w:pPr>
      <w:r>
        <w:rPr>
          <w:b/>
        </w:rPr>
        <w:t xml:space="preserve">Retrieval and verification</w:t>
      </w:r>
      <w:r>
        <w:t xml:space="preserve"> in tier order, with the call budget and independence check.</w:t>
      </w:r>
    </w:p>
    <w:p>
      <w:pPr>
        <w:pStyle w:val="ListParagraph"/>
        <w:numPr>
          <w:ilvl w:val="0"/>
          <w:numId w:val="12"/>
        </w:numPr>
      </w:pPr>
      <w:r>
        <w:rPr>
          <w:b/>
        </w:rPr>
        <w:t xml:space="preserve">Impact Analyst, Composer, and Review</w:t>
      </w:r>
      <w:r>
        <w:t xml:space="preserve"> producing updates in the fixed structure, with human review of every update.</w:t>
      </w:r>
    </w:p>
    <w:p>
      <w:pPr>
        <w:pStyle w:val="ListParagraph"/>
        <w:numPr>
          <w:ilvl w:val="0"/>
          <w:numId w:val="12"/>
        </w:numPr>
      </w:pPr>
      <w:r>
        <w:rPr>
          <w:b/>
        </w:rPr>
        <w:t xml:space="preserve">Feedback loop</w:t>
      </w:r>
      <w:r>
        <w:t xml:space="preserve"> that logs reactions and outcomes and proposes threshold changes.</w:t>
      </w:r>
    </w:p>
    <w:p>
      <w:pPr>
        <w:pStyle w:val="ListParagraph"/>
        <w:numPr>
          <w:ilvl w:val="0"/>
          <w:numId w:val="12"/>
        </w:numPr>
      </w:pPr>
      <w:r>
        <w:rPr>
          <w:b/>
        </w:rPr>
        <w:t xml:space="preserve">Widen</w:t>
      </w:r>
      <w:r>
        <w:t xml:space="preserve"> to more drivers, trigger families, and farms once farmers keep reading and acting on updates.</w:t>
      </w:r>
    </w:p>
    <w:p>
      <w:pPr/>
      <w:r>
        <w:rPr>
          <w:b/>
        </w:rPr>
        <w:t xml:space="preserve">Open decisions</w:t>
      </w:r>
    </w:p>
    <w:p>
      <w:pPr>
        <w:pStyle w:val="ListParagraph"/>
        <w:numPr>
          <w:ilvl w:val="0"/>
          <w:numId w:val="13"/>
        </w:numPr>
      </w:pPr>
      <w:r>
        <w:t xml:space="preserve">☐ Confirm that trigger detection may read a short list of primary feeds</w:t>
      </w:r>
    </w:p>
    <w:p>
      <w:pPr>
        <w:pStyle w:val="ListParagraph"/>
        <w:numPr>
          <w:ilvl w:val="0"/>
          <w:numId w:val="13"/>
        </w:numPr>
      </w:pPr>
      <w:r>
        <w:t xml:space="preserve">☐ Confirm which diversification clusters count as in production (on-farm production, livestock ventures, value-added) and which as outside production (custom services, trucking, environmental and energy, space and experience, data services, capital deployment)</w:t>
      </w:r>
    </w:p>
    <w:p>
      <w:pPr>
        <w:pStyle w:val="ListParagraph"/>
        <w:numPr>
          <w:ilvl w:val="0"/>
          <w:numId w:val="13"/>
        </w:numPr>
      </w:pPr>
      <w:r>
        <w:t xml:space="preserve">☐ Choose pilot farms and the first three driver briefs</w:t>
      </w:r>
    </w:p>
    <w:p>
      <w:pPr>
        <w:pStyle w:val="ListParagraph"/>
        <w:numPr>
          <w:ilvl w:val="0"/>
          <w:numId w:val="13"/>
        </w:numPr>
      </w:pPr>
      <w:r>
        <w:t xml:space="preserve">☐ Set delivery channel, weekly cap, and relevance bar</w:t>
      </w:r>
    </w:p>
    <w:p>
      <w:pPr>
        <w:pStyle w:val="ListParagraph"/>
        <w:numPr>
          <w:ilvl w:val="0"/>
          <w:numId w:val="13"/>
        </w:numPr>
      </w:pPr>
      <w:r>
        <w:t xml:space="preserve">☐ Name who reviews briefs and high-stakes updates</w:t>
      </w:r>
    </w:p>
    <w:p>
      <w:pPr>
        <w:pStyle w:val="ListParagraph"/>
        <w:numPr>
          <w:ilvl w:val="0"/>
          <w:numId w:val="13"/>
        </w:numPr>
      </w:pPr>
      <w:r>
        <w:t xml:space="preserve">☐ Link-check the registry URLs and set up connectors for the detection feeds</w:t>
      </w:r>
    </w:p>
    <w:p>
      <w:pPr>
        <w:pStyle w:val="ListParagraph"/>
        <w:numPr>
          <w:ilvl w:val="0"/>
          <w:numId w:val="14"/>
        </w:numPr>
      </w:pPr>
      <w:r>
        <w:t xml:space="preserve">☐ Decide how legacy intent is captured (onboarding questions, the MFP Succession dimension, the Strategic Vision handoff) and whether updates may refer to family members by role</w:t>
      </w:r>
    </w:p>
    <w:p>
      <w:pPr/>
      <w:r>
        <w:rPr>
          <w:b/>
        </w:rPr>
        <w:t xml:space="preserve">Related assets from this work</w:t>
      </w:r>
    </w:p>
    <w:p>
      <w:pPr>
        <w:pStyle w:val="ListParagraph"/>
        <w:numPr>
          <w:ilvl w:val="0"/>
          <w:numId w:val="15"/>
        </w:numPr>
      </w:pPr>
      <w:r>
        <w:t xml:space="preserve">Source registry spreadsheet (Farm_Intel_Source_Registry.xlsx): 158 sources with tier, origin, root, and cadence fields, plus policy alert rules and a coverage checklist</w:t>
      </w:r>
    </w:p>
    <w:p>
      <w:pPr>
        <w:pStyle w:val="ListParagraph"/>
        <w:numPr>
          <w:ilvl w:val="0"/>
          <w:numId w:val="15"/>
        </w:numPr>
      </w:pPr>
      <w:hyperlink r:id="rId4" w:history="1">
        <w:r>
          <w:rPr>
            <w:rStyle w:val="Hyperlink"/>
          </w:rPr>
          <w:t xml:space="preserve">Farmer Intelligence Alert Template</w:t>
        </w:r>
      </w:hyperlink>
      <w:r>
        <w:t xml:space="preserve">: the update format, with whole-farm check and fit lines</w:t>
      </w:r>
    </w:p>
    <w:p>
      <w:pPr>
        <w:pStyle w:val="ListParagraph"/>
        <w:numPr>
          <w:ilvl w:val="0"/>
          <w:numId w:val="15"/>
        </w:numPr>
      </w:pPr>
      <w:hyperlink r:id="rId5" w:history="1">
        <w:r>
          <w:rPr>
            <w:rStyle w:val="Hyperlink"/>
          </w:rPr>
          <w:t xml:space="preserve">Sample Farm: Profile and One Month of Alerts</w:t>
        </w:r>
      </w:hyperlink>
      <w:r>
        <w:t xml:space="preserve">: a worked profile and alert set</w:t>
      </w:r>
    </w:p>
    <w:p>
      <w:pPr>
        <w:pStyle w:val="ListParagraph"/>
        <w:numPr>
          <w:ilvl w:val="0"/>
          <w:numId w:val="15"/>
        </w:numPr>
      </w:pPr>
      <w:hyperlink r:id="rId6" w:history="1">
        <w:r>
          <w:rPr>
            <w:rStyle w:val="Hyperlink"/>
          </w:rPr>
          <w:t xml:space="preserve">Farm Wargame: Design and Sample Scenario</w:t>
        </w:r>
      </w:hyperlink>
      <w:r>
        <w:t xml:space="preserve">: scenario practice that can test the same triggers and indicators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laude.ai/code/artifact/e9b3c889-46b7-4604-b99d-b746bf672b76" TargetMode="External"/><Relationship Id="rId5" Type="http://schemas.openxmlformats.org/officeDocument/2006/relationships/hyperlink" Target="https://claude.ai/code/artifact/806dac7f-9967-4ef7-b029-1a799e928391" TargetMode="External"/><Relationship Id="rId6" Type="http://schemas.openxmlformats.org/officeDocument/2006/relationships/hyperlink" Target="https://claude.ai/code/artifact/62c5d8b6-0bf0-4af8-a443-78496e62634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MFP Farm Intelligence How It Thinks and How to Build It</dc:title>
  <dc:description>Claude Docs node/ffbefb0a-c1cf@58 docx-w7</dc:description>
  <cp:revision>58</cp:revision>
</cp:coreProperties>
</file>