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</w:pPr>
      <w:r>
        <w:rPr>
          <w:rtl w:val="0"/>
          <w:lang w:val="fr-FR"/>
        </w:rPr>
        <w:t>Bidirectional Text</w:t>
      </w:r>
    </w:p>
    <w:p>
      <w:pPr>
        <w:pStyle w:val="Body"/>
      </w:pPr>
      <w:r>
        <w:rPr>
          <w:rtl w:val="0"/>
          <w:lang w:val="en-US"/>
        </w:rPr>
        <w:t>A right-to-left Arabic paragraph:</w:t>
      </w:r>
    </w:p>
    <w:p>
      <w:pPr>
        <w:pStyle w:val="Body"/>
        <w:bidi w:val="1"/>
        <w:ind w:left="0" w:right="0" w:firstLine="0"/>
        <w:jc w:val="right"/>
        <w:rPr>
          <w:rtl w:val="1"/>
        </w:rPr>
      </w:pPr>
      <w:r>
        <w:rPr>
          <w:rFonts w:ascii="Arial Unicode MS" w:cs="Times New Roman" w:hAnsi="Arial Unicode MS" w:eastAsia="Arial Unicode MS" w:hint="cs"/>
          <w:sz w:val="20"/>
          <w:szCs w:val="20"/>
          <w:rtl w:val="1"/>
          <w:lang w:val="ar-SA" w:bidi="ar-SA"/>
        </w:rPr>
        <w:t>مرحبا بالعالم، هذه فقرة عربية تُكتب من اليمين إلى اليسار</w:t>
      </w:r>
      <w:r>
        <w:rPr>
          <w:rFonts w:ascii="Times New Roman" w:hAnsi="Times New Roman"/>
          <w:sz w:val="20"/>
          <w:szCs w:val="20"/>
          <w:rtl w:val="1"/>
        </w:rPr>
        <w:t>.</w:t>
      </w:r>
    </w:p>
    <w:p>
      <w:pPr>
        <w:pStyle w:val="Body"/>
      </w:pPr>
      <w:r>
        <w:rPr>
          <w:rtl w:val="0"/>
          <w:lang w:val="en-US"/>
        </w:rPr>
        <w:t>A right-to-left Hebrew paragraph:</w:t>
      </w:r>
    </w:p>
    <w:p>
      <w:pPr>
        <w:pStyle w:val="Body"/>
        <w:bidi w:val="1"/>
        <w:ind w:left="0" w:right="0" w:firstLine="0"/>
        <w:jc w:val="right"/>
        <w:rPr>
          <w:rtl w:val="1"/>
        </w:rPr>
      </w:pPr>
      <w:r>
        <w:rPr>
          <w:rFonts w:ascii="Arial Unicode MS" w:cs="Times New Roman" w:hAnsi="Arial Unicode MS" w:eastAsia="Arial Unicode MS" w:hint="cs"/>
          <w:sz w:val="20"/>
          <w:szCs w:val="20"/>
          <w:rtl w:val="1"/>
          <w:lang w:val="he-IL" w:bidi="he-IL"/>
        </w:rPr>
        <w:t>שלום עולם</w:t>
      </w:r>
      <w:r>
        <w:rPr>
          <w:rFonts w:ascii="Times New Roman" w:hAnsi="Times New Roman"/>
          <w:sz w:val="20"/>
          <w:szCs w:val="20"/>
          <w:rtl w:val="1"/>
        </w:rPr>
        <w:t xml:space="preserve">, </w:t>
      </w:r>
      <w:r>
        <w:rPr>
          <w:rFonts w:ascii="Arial Unicode MS" w:cs="Times New Roman" w:hAnsi="Arial Unicode MS" w:eastAsia="Arial Unicode MS" w:hint="cs"/>
          <w:sz w:val="20"/>
          <w:szCs w:val="20"/>
          <w:rtl w:val="1"/>
          <w:lang w:val="he-IL" w:bidi="he-IL"/>
        </w:rPr>
        <w:t>זו פסקה בעברית הנכתבת מימין לשמאל</w:t>
      </w:r>
      <w:r>
        <w:rPr>
          <w:rFonts w:ascii="Times New Roman" w:hAnsi="Times New Roman"/>
          <w:sz w:val="20"/>
          <w:szCs w:val="20"/>
          <w:rtl w:val="1"/>
        </w:rPr>
        <w:t>.</w:t>
      </w:r>
    </w:p>
    <w:p>
      <w:pPr>
        <w:pStyle w:val="Body"/>
      </w:pPr>
      <w:r>
        <w:rPr>
          <w:rtl w:val="0"/>
          <w:lang w:val="en-US"/>
        </w:rPr>
        <w:t>A left-to-right paragraph with an inline right-to-left phrase:</w:t>
      </w:r>
    </w:p>
    <w:p>
      <w:pPr>
        <w:pStyle w:val="Body"/>
      </w:pPr>
      <w:r>
        <w:rPr>
          <w:rtl w:val="0"/>
          <w:lang w:val="en-US"/>
        </w:rPr>
        <w:t xml:space="preserve">The sign read </w:t>
      </w:r>
      <w:r>
        <w:rPr>
          <w:rFonts w:ascii="Arial Unicode MS" w:cs="Times New Roman" w:hAnsi="Arial Unicode MS" w:eastAsia="Arial Unicode MS" w:hint="cs"/>
          <w:sz w:val="20"/>
          <w:szCs w:val="20"/>
          <w:rtl w:val="1"/>
        </w:rPr>
        <w:t>مخرج</w:t>
      </w:r>
      <w:r>
        <w:rPr>
          <w:rtl w:val="0"/>
          <w:lang w:val="en-US"/>
        </w:rPr>
        <w:t xml:space="preserve"> (exit) above the door.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Heading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480" w:after="120" w:line="259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 w:color="000000"/>
      <w:shd w:val="nil" w:color="auto" w:fill="auto"/>
      <w:vertAlign w:val="baseline"/>
      <w:lang w:val="fr-FR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