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38E1" w14:textId="77777777" w:rsidR="00465155" w:rsidRDefault="00B07CA0" w:rsidP="00465155">
      <w:pPr>
        <w:rPr>
          <w:b/>
          <w:bCs/>
        </w:rPr>
      </w:pPr>
      <w:r>
        <w:rPr>
          <w:b/>
          <w:bCs/>
        </w:rPr>
        <w:t>Date:</w:t>
      </w:r>
      <w:r w:rsidR="004213B1">
        <w:rPr>
          <w:b/>
          <w:bCs/>
        </w:rPr>
        <w:t xml:space="preserve"> </w:t>
      </w:r>
      <w:r w:rsidR="005A76D7">
        <w:rPr>
          <w:b/>
          <w:bCs/>
        </w:rPr>
        <w:t>January</w:t>
      </w:r>
      <w:r w:rsidR="004213B1">
        <w:rPr>
          <w:b/>
          <w:bCs/>
        </w:rPr>
        <w:t xml:space="preserve"> 25</w:t>
      </w:r>
      <w:r w:rsidR="00B56D03">
        <w:rPr>
          <w:b/>
          <w:bCs/>
        </w:rPr>
        <w:t>, 202</w:t>
      </w:r>
      <w:r w:rsidR="005A76D7">
        <w:rPr>
          <w:b/>
          <w:bCs/>
        </w:rPr>
        <w:t>2</w:t>
      </w:r>
    </w:p>
    <w:p w14:paraId="78F2C66F" w14:textId="368C64C5" w:rsidR="00D0170A" w:rsidRDefault="00D0170A" w:rsidP="00D0170A">
      <w:pPr>
        <w:rPr>
          <w:b/>
          <w:bCs/>
        </w:rPr>
      </w:pPr>
      <w:r>
        <w:rPr>
          <w:b/>
          <w:bCs/>
        </w:rPr>
        <w:t>Topic</w:t>
      </w:r>
      <w:r w:rsidRPr="006944F9">
        <w:rPr>
          <w:b/>
          <w:bCs/>
        </w:rPr>
        <w:t xml:space="preserve">: </w:t>
      </w:r>
      <w:r w:rsidR="004213B1">
        <w:rPr>
          <w:b/>
          <w:bCs/>
        </w:rPr>
        <w:t xml:space="preserve">Subtlety of </w:t>
      </w:r>
      <w:r>
        <w:rPr>
          <w:b/>
          <w:bCs/>
        </w:rPr>
        <w:t>ER diagrams</w:t>
      </w:r>
      <w:r w:rsidR="004A1AD1">
        <w:rPr>
          <w:b/>
          <w:bCs/>
        </w:rPr>
        <w:t xml:space="preserve">  </w:t>
      </w:r>
    </w:p>
    <w:p w14:paraId="14B38118" w14:textId="77777777" w:rsidR="00D0170A" w:rsidRDefault="00D0170A" w:rsidP="00D0170A">
      <w:pPr>
        <w:rPr>
          <w:bCs/>
        </w:rPr>
      </w:pPr>
      <w:r>
        <w:rPr>
          <w:b/>
          <w:bCs/>
        </w:rPr>
        <w:t xml:space="preserve">Learning objective: </w:t>
      </w:r>
      <w:r w:rsidRPr="00D0170A">
        <w:rPr>
          <w:bCs/>
        </w:rPr>
        <w:t xml:space="preserve">Understand subtlety </w:t>
      </w:r>
      <w:r>
        <w:rPr>
          <w:bCs/>
        </w:rPr>
        <w:t>involving</w:t>
      </w:r>
      <w:r w:rsidR="00B07CA0">
        <w:rPr>
          <w:bCs/>
        </w:rPr>
        <w:t xml:space="preserve"> weak entity sets,</w:t>
      </w:r>
      <w:r w:rsidRPr="00D0170A">
        <w:rPr>
          <w:bCs/>
        </w:rPr>
        <w:t xml:space="preserve"> 2-way relationships or 3-way relationship</w:t>
      </w:r>
      <w:r w:rsidR="00B07CA0">
        <w:rPr>
          <w:bCs/>
        </w:rPr>
        <w:t xml:space="preserve"> sets, aggregation, and ISA hierarchy.</w:t>
      </w:r>
    </w:p>
    <w:p w14:paraId="456C376E" w14:textId="77777777" w:rsidR="00AC1676" w:rsidRPr="00E10E82" w:rsidRDefault="00AC1676" w:rsidP="00D0170A">
      <w:pPr>
        <w:rPr>
          <w:b/>
          <w:bCs/>
        </w:rPr>
      </w:pPr>
      <w:r w:rsidRPr="00E10E82">
        <w:rPr>
          <w:b/>
          <w:bCs/>
        </w:rPr>
        <w:t>Reference materials:</w:t>
      </w:r>
    </w:p>
    <w:p w14:paraId="63975C43" w14:textId="77777777" w:rsidR="00AC1676" w:rsidRPr="00AC1676" w:rsidRDefault="00AC1676" w:rsidP="00AC1676">
      <w:pPr>
        <w:ind w:left="630" w:hanging="270"/>
        <w:rPr>
          <w:bCs/>
        </w:rPr>
      </w:pPr>
      <w:r>
        <w:rPr>
          <w:bCs/>
        </w:rPr>
        <w:t xml:space="preserve">[1] </w:t>
      </w:r>
      <w:hyperlink r:id="rId7" w:history="1">
        <w:r>
          <w:rPr>
            <w:rStyle w:val="Hyperlink"/>
          </w:rPr>
          <w:t>http://pages.cs.wisc.edu/~dbbook/openAccess/thirdEdition/solutions/ans3ed-oddonly.pdf</w:t>
        </w:r>
      </w:hyperlink>
      <w:r>
        <w:rPr>
          <w:bCs/>
        </w:rPr>
        <w:t xml:space="preserve"> Raghu Ramakrishnan and Johannes Gehrke. </w:t>
      </w:r>
      <w:r w:rsidRPr="00AC1676">
        <w:rPr>
          <w:bCs/>
        </w:rPr>
        <w:t>Database Management Systems, 3rd Edition 3rd Edition. McGraw-Hill Higher Education, 2003.</w:t>
      </w:r>
    </w:p>
    <w:p w14:paraId="40BB665C" w14:textId="77777777" w:rsidR="00E10E82" w:rsidRDefault="00E10E82" w:rsidP="00E10E82">
      <w:pPr>
        <w:pStyle w:val="ListParagraph"/>
        <w:numPr>
          <w:ilvl w:val="0"/>
          <w:numId w:val="8"/>
        </w:numPr>
        <w:spacing w:after="120" w:line="240" w:lineRule="auto"/>
      </w:pPr>
      <w:r>
        <w:t>Given the ER diagrams in Figure 1 and Figure 2, answer the following questions.</w:t>
      </w:r>
    </w:p>
    <w:p w14:paraId="7052A01A" w14:textId="77777777" w:rsidR="00E10E82" w:rsidRDefault="00E10E82" w:rsidP="00E10E82">
      <w:pPr>
        <w:pStyle w:val="ListParagraph"/>
        <w:spacing w:after="120" w:line="240" w:lineRule="auto"/>
        <w:ind w:left="360"/>
      </w:pPr>
    </w:p>
    <w:p w14:paraId="2CD4E6A1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object w:dxaOrig="9150" w:dyaOrig="6165" w14:anchorId="3DEB8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237pt" o:ole="">
            <v:imagedata r:id="rId8" o:title=""/>
          </v:shape>
          <o:OLEObject Type="Embed" ProgID="Visio.Drawing.15" ShapeID="_x0000_i1025" DrawAspect="Content" ObjectID="_1704783922" r:id="rId9"/>
        </w:object>
      </w:r>
    </w:p>
    <w:p w14:paraId="7EA07897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t>Figure 1: ER diagram modeling a database of teaching assistants and course sections</w:t>
      </w:r>
    </w:p>
    <w:p w14:paraId="6D3F2B58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object w:dxaOrig="9510" w:dyaOrig="6960" w14:anchorId="10F258A1">
          <v:shape id="_x0000_i1026" type="#_x0000_t75" style="width:323.4pt;height:236.4pt" o:ole="">
            <v:imagedata r:id="rId10" o:title=""/>
          </v:shape>
          <o:OLEObject Type="Embed" ProgID="Visio.Drawing.15" ShapeID="_x0000_i1026" DrawAspect="Content" ObjectID="_1704783923" r:id="rId11"/>
        </w:object>
      </w:r>
    </w:p>
    <w:p w14:paraId="2B6EBDCA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t>Figure 2: ER diagram modeling a database of teaching assistants and course sections</w:t>
      </w:r>
    </w:p>
    <w:p w14:paraId="5273BABC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</w:p>
    <w:p w14:paraId="3CCF9BA8" w14:textId="39B05F0B" w:rsidR="00E10E82" w:rsidRDefault="00E10E82" w:rsidP="00E10E82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Does the diagram in Figure 1 indicate that each student must assist in teaching some sections? If not, modify the ER diagram in Figure 1 to capture the requirement.</w:t>
      </w:r>
      <w:r w:rsidR="00ED0D66">
        <w:t xml:space="preserve"> </w:t>
      </w:r>
    </w:p>
    <w:p w14:paraId="44A87B94" w14:textId="77777777" w:rsidR="00ED0D66" w:rsidRDefault="00ED0D66" w:rsidP="00ED0D66">
      <w:pPr>
        <w:pStyle w:val="NormalWeb"/>
        <w:spacing w:before="0" w:beforeAutospacing="0" w:after="0" w:afterAutospacing="0"/>
        <w:ind w:left="720"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No, because it has a thin line which means that it is not required.</w:t>
      </w:r>
    </w:p>
    <w:p w14:paraId="3E3B011D" w14:textId="0D5634EC" w:rsidR="00ED0D66" w:rsidRPr="00ED0D66" w:rsidRDefault="00ED0D66" w:rsidP="00ED0D6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Solution: bold the thin line going from Student to Assist</w:t>
      </w:r>
    </w:p>
    <w:p w14:paraId="03936250" w14:textId="77777777" w:rsidR="00E10E82" w:rsidRDefault="00E10E82" w:rsidP="00E10E82">
      <w:pPr>
        <w:pStyle w:val="ListParagraph"/>
        <w:spacing w:after="120" w:line="240" w:lineRule="auto"/>
        <w:ind w:left="1152"/>
      </w:pPr>
    </w:p>
    <w:p w14:paraId="7C6541F5" w14:textId="77777777" w:rsidR="00ED0D66" w:rsidRDefault="00E10E82" w:rsidP="00ED0D66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Does the diagram in Figure 1 indicate that each section must have at least one teaching assistant? If not, draw the ER diagram that enforces such a requirement.</w:t>
      </w:r>
    </w:p>
    <w:p w14:paraId="23629008" w14:textId="77777777" w:rsidR="00ED0D66" w:rsidRDefault="00ED0D66" w:rsidP="00ED0D66">
      <w:pPr>
        <w:pStyle w:val="ListParagraph"/>
        <w:spacing w:after="120" w:line="240" w:lineRule="auto"/>
        <w:ind w:left="1152"/>
        <w:rPr>
          <w:rFonts w:ascii="Calibri" w:eastAsia="Times New Roman" w:hAnsi="Calibri" w:cs="Calibri"/>
          <w:b/>
          <w:bCs/>
          <w:color w:val="000000"/>
        </w:rPr>
      </w:pPr>
      <w:r w:rsidRPr="00ED0D66">
        <w:rPr>
          <w:rFonts w:ascii="Calibri" w:eastAsia="Times New Roman" w:hAnsi="Calibri" w:cs="Calibri"/>
          <w:b/>
          <w:bCs/>
          <w:color w:val="000000"/>
        </w:rPr>
        <w:t>No, it does not because it has a thin line instead of a bolded arrow going from Assist to Section</w:t>
      </w:r>
    </w:p>
    <w:p w14:paraId="58F245D0" w14:textId="654DB8D3" w:rsidR="00E10E82" w:rsidRDefault="00ED0D66" w:rsidP="00ED0D66">
      <w:pPr>
        <w:pStyle w:val="ListParagraph"/>
        <w:spacing w:after="120" w:line="240" w:lineRule="auto"/>
        <w:ind w:left="1152"/>
      </w:pPr>
      <w:r w:rsidRPr="00ED0D66">
        <w:rPr>
          <w:rFonts w:ascii="Calibri" w:eastAsia="Times New Roman" w:hAnsi="Calibri" w:cs="Calibri"/>
          <w:b/>
          <w:bCs/>
          <w:color w:val="000000"/>
        </w:rPr>
        <w:t>Solution: Change the line that goes from Assist to Section from thin to bolded and an arrow to show requirement.</w:t>
      </w:r>
    </w:p>
    <w:p w14:paraId="32D5CA03" w14:textId="36AA3E0B" w:rsidR="00E10E82" w:rsidRPr="00ED0D66" w:rsidRDefault="00E10E82" w:rsidP="00ED0D66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 xml:space="preserve">Is it possible to use existing ER diagram notations to indicate a constraint that a particular student is not allowed to assist a certain professor in teaching some sections either </w:t>
      </w:r>
      <w:r w:rsidR="00736D3F">
        <w:t xml:space="preserve">in </w:t>
      </w:r>
      <w:r>
        <w:t>Figure 1 or Figure 2?</w:t>
      </w:r>
      <w:r w:rsidR="00ED0D66">
        <w:t xml:space="preserve"> </w:t>
      </w:r>
      <w:r w:rsidR="00ED0D66" w:rsidRPr="00ED0D66">
        <w:rPr>
          <w:rFonts w:ascii="Calibri" w:eastAsia="Times New Roman" w:hAnsi="Calibri" w:cs="Calibri"/>
          <w:b/>
          <w:bCs/>
          <w:color w:val="000000"/>
        </w:rPr>
        <w:t>No, ER notation apple to the whole entity set or relationship set, not just to a specific entity or relationship.</w:t>
      </w:r>
    </w:p>
    <w:p w14:paraId="3C1AF401" w14:textId="77777777" w:rsidR="00ED0D66" w:rsidRDefault="00ED0D66" w:rsidP="00ED0D66">
      <w:pPr>
        <w:pStyle w:val="ListParagraph"/>
        <w:spacing w:after="120" w:line="240" w:lineRule="auto"/>
        <w:ind w:left="1152"/>
      </w:pPr>
    </w:p>
    <w:p w14:paraId="4EB39AEC" w14:textId="4DBE8AA2" w:rsidR="00736D3F" w:rsidRDefault="00E10E82" w:rsidP="00736D3F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Compare the two ER diagrams in Figure 1 and Figure 2, which of the ER diagram requires that SemesterName must be provided when students assist in teaching course sections.</w:t>
      </w:r>
      <w:r w:rsidR="00ED0D66">
        <w:t xml:space="preserve"> </w:t>
      </w:r>
      <w:r w:rsidR="00ED0D66">
        <w:rPr>
          <w:rFonts w:ascii="Calibri" w:hAnsi="Calibri" w:cs="Calibri"/>
          <w:b/>
          <w:bCs/>
          <w:color w:val="000000"/>
        </w:rPr>
        <w:t>Figure 2 requires SemesterName and it can be seen since it is a unique identifier.</w:t>
      </w:r>
    </w:p>
    <w:p w14:paraId="5B4B34A9" w14:textId="77777777" w:rsidR="00736D3F" w:rsidRDefault="00736D3F" w:rsidP="00736D3F">
      <w:pPr>
        <w:pStyle w:val="ListParagraph"/>
      </w:pPr>
    </w:p>
    <w:p w14:paraId="6F302AEE" w14:textId="73E4A300" w:rsidR="00E10E82" w:rsidRDefault="00E10E82" w:rsidP="00736D3F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 xml:space="preserve">A relationship set is a set. What make a relationship in the “assist” relationship set unique in Figure 1? How about in Figure 2? </w:t>
      </w:r>
      <w:r w:rsidR="00ED0D66">
        <w:rPr>
          <w:rFonts w:ascii="Calibri" w:hAnsi="Calibri" w:cs="Calibri"/>
          <w:b/>
          <w:bCs/>
          <w:color w:val="000000"/>
        </w:rPr>
        <w:t>In figure 1 it is University ID, CID, and Section ID (Partial) for Figure 2 it is University ID, CID, Section ID (partial), and SemesterName</w:t>
      </w:r>
    </w:p>
    <w:p w14:paraId="25EBF01D" w14:textId="77777777" w:rsidR="001305DF" w:rsidRDefault="001305DF" w:rsidP="001305DF">
      <w:pPr>
        <w:pStyle w:val="ListParagraph"/>
      </w:pPr>
    </w:p>
    <w:p w14:paraId="6767418E" w14:textId="3AA91E55" w:rsidR="001305DF" w:rsidRDefault="001305DF" w:rsidP="00736D3F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For the ER diagram in Figure 1, could we keep a history of assistantships for the same student assisting in teaching the same course section in different semesters</w:t>
      </w:r>
      <w:r w:rsidR="00971D75">
        <w:t>?</w:t>
      </w:r>
      <w:r w:rsidR="00ED0D66">
        <w:t xml:space="preserve"> </w:t>
      </w:r>
    </w:p>
    <w:p w14:paraId="085F1648" w14:textId="77777777" w:rsidR="00ED0D66" w:rsidRDefault="00ED0D66" w:rsidP="00ED0D66">
      <w:pPr>
        <w:pStyle w:val="ListParagraph"/>
      </w:pPr>
    </w:p>
    <w:p w14:paraId="04FD66D8" w14:textId="3E998E04" w:rsidR="00ED0D66" w:rsidRDefault="00ED0D66" w:rsidP="00ED0D66">
      <w:pPr>
        <w:pStyle w:val="ListParagraph"/>
        <w:spacing w:after="120" w:line="240" w:lineRule="auto"/>
        <w:ind w:left="1152"/>
      </w:pPr>
      <w:r>
        <w:rPr>
          <w:rFonts w:ascii="Calibri" w:hAnsi="Calibri" w:cs="Calibri"/>
          <w:b/>
          <w:bCs/>
          <w:color w:val="000000"/>
        </w:rPr>
        <w:lastRenderedPageBreak/>
        <w:t>No because the Section ID, University ID for the student, and Course ID would stay the same and so only one instance can be kept.</w:t>
      </w:r>
    </w:p>
    <w:p w14:paraId="7F4AC730" w14:textId="77777777" w:rsidR="00736D3F" w:rsidRDefault="00736D3F" w:rsidP="00736D3F">
      <w:pPr>
        <w:pStyle w:val="ListParagraph"/>
        <w:spacing w:after="120" w:line="240" w:lineRule="auto"/>
        <w:ind w:left="360"/>
      </w:pPr>
    </w:p>
    <w:p w14:paraId="72C87E23" w14:textId="77777777" w:rsidR="002152BC" w:rsidRDefault="0003248C" w:rsidP="002152BC">
      <w:pPr>
        <w:pStyle w:val="ListParagraph"/>
        <w:numPr>
          <w:ilvl w:val="0"/>
          <w:numId w:val="7"/>
        </w:numPr>
        <w:ind w:left="360"/>
      </w:pPr>
      <w:r>
        <w:t>Add to the ER diagram</w:t>
      </w:r>
      <w:r w:rsidR="00355CB2">
        <w:t xml:space="preserve"> we did</w:t>
      </w:r>
      <w:r>
        <w:t xml:space="preserve"> last week to </w:t>
      </w:r>
      <w:r w:rsidR="00724A26">
        <w:t>indicate</w:t>
      </w:r>
      <w:r>
        <w:t xml:space="preserve"> the following requirement. </w:t>
      </w:r>
      <w:r w:rsidRPr="00571440">
        <w:t xml:space="preserve">An employee can have dependents. The dependent name, gender, date of birth, and the relationship of the employee and his/her dependent needs to be kept. Names of dependents </w:t>
      </w:r>
      <w:r w:rsidR="00390931">
        <w:t>for the same employee are unique. But different employees may have the same names for their dependents</w:t>
      </w:r>
      <w:r w:rsidRPr="00571440">
        <w:t xml:space="preserve">. Each dependent must be associated with </w:t>
      </w:r>
      <w:r w:rsidR="00FB0240">
        <w:t>exactly one</w:t>
      </w:r>
      <w:r w:rsidRPr="00571440">
        <w:t xml:space="preserve"> employee.</w:t>
      </w:r>
    </w:p>
    <w:p w14:paraId="109BEEBE" w14:textId="77777777" w:rsidR="00390931" w:rsidRDefault="00390931" w:rsidP="00390931">
      <w:pPr>
        <w:pStyle w:val="ListParagraph"/>
        <w:ind w:left="360"/>
      </w:pPr>
    </w:p>
    <w:p w14:paraId="4922A366" w14:textId="77777777" w:rsidR="00AC1676" w:rsidRDefault="00AC1676" w:rsidP="002152BC">
      <w:pPr>
        <w:pStyle w:val="ListParagraph"/>
        <w:numPr>
          <w:ilvl w:val="0"/>
          <w:numId w:val="7"/>
        </w:numPr>
        <w:ind w:left="360"/>
      </w:pPr>
      <w:r>
        <w:t xml:space="preserve">Given the ER diagram below taken from </w:t>
      </w:r>
      <w:r w:rsidR="00657040">
        <w:t>the open material from Reference</w:t>
      </w:r>
      <w:r>
        <w:t xml:space="preserve"> [1].</w:t>
      </w:r>
    </w:p>
    <w:p w14:paraId="50E3589F" w14:textId="77777777" w:rsidR="00AC1676" w:rsidRDefault="00AC1676" w:rsidP="00AC1676">
      <w:pPr>
        <w:pStyle w:val="ListParagraph"/>
        <w:ind w:left="360"/>
      </w:pPr>
    </w:p>
    <w:p w14:paraId="3CCB9A10" w14:textId="77777777" w:rsidR="00AC1676" w:rsidRDefault="00AC1676" w:rsidP="00AC1676">
      <w:pPr>
        <w:pStyle w:val="ListParagraph"/>
        <w:ind w:left="360"/>
      </w:pPr>
      <w:r>
        <w:rPr>
          <w:noProof/>
        </w:rPr>
        <w:drawing>
          <wp:inline distT="0" distB="0" distL="0" distR="0" wp14:anchorId="3C3EC7FE" wp14:editId="4F8B3B42">
            <wp:extent cx="5937250" cy="4381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2A88" w14:textId="77777777" w:rsidR="0070253B" w:rsidRDefault="001305DF" w:rsidP="00AC1676">
      <w:pPr>
        <w:pStyle w:val="ListParagraph"/>
        <w:ind w:left="360"/>
      </w:pPr>
      <w:r>
        <w:t>The</w:t>
      </w:r>
      <w:r w:rsidR="0070253B">
        <w:t xml:space="preserve"> “Prescription” relationship set</w:t>
      </w:r>
      <w:r>
        <w:t xml:space="preserve"> is</w:t>
      </w:r>
      <w:r w:rsidR="00390931">
        <w:t xml:space="preserve"> a 3-way relationship set among “Patient”, “Doctor”, and the weak entity set “Drug”.</w:t>
      </w:r>
    </w:p>
    <w:p w14:paraId="248691A1" w14:textId="77777777" w:rsidR="00390931" w:rsidRDefault="00390931" w:rsidP="00AC1676">
      <w:pPr>
        <w:pStyle w:val="ListParagraph"/>
        <w:ind w:left="360"/>
      </w:pPr>
    </w:p>
    <w:p w14:paraId="598D8861" w14:textId="7E3B7A54" w:rsidR="0070253B" w:rsidRDefault="0070253B" w:rsidP="001305DF">
      <w:pPr>
        <w:pStyle w:val="ListParagraph"/>
        <w:numPr>
          <w:ilvl w:val="1"/>
          <w:numId w:val="7"/>
        </w:numPr>
      </w:pPr>
      <w:r>
        <w:t>Name the identifying relationship set of the weak entity set “Drug”.</w:t>
      </w:r>
    </w:p>
    <w:p w14:paraId="4AD0EDBD" w14:textId="0ABD56CA" w:rsidR="00463A5F" w:rsidRDefault="00463A5F" w:rsidP="00463A5F">
      <w:pPr>
        <w:pStyle w:val="ListParagraph"/>
        <w:numPr>
          <w:ilvl w:val="2"/>
          <w:numId w:val="7"/>
        </w:numPr>
      </w:pPr>
      <w:r>
        <w:t>“Make”</w:t>
      </w:r>
    </w:p>
    <w:p w14:paraId="25B5E89A" w14:textId="1CB7458C" w:rsidR="0070253B" w:rsidRDefault="0070253B" w:rsidP="001305DF">
      <w:pPr>
        <w:pStyle w:val="ListParagraph"/>
        <w:numPr>
          <w:ilvl w:val="1"/>
          <w:numId w:val="7"/>
        </w:numPr>
      </w:pPr>
      <w:r>
        <w:t>What makes each relationship in the “Prescription” relationship set unique?</w:t>
      </w:r>
    </w:p>
    <w:p w14:paraId="3DF3CE3F" w14:textId="15CCF8C2" w:rsidR="00463A5F" w:rsidRDefault="00463A5F" w:rsidP="00463A5F">
      <w:pPr>
        <w:pStyle w:val="ListParagraph"/>
        <w:numPr>
          <w:ilvl w:val="2"/>
          <w:numId w:val="7"/>
        </w:numPr>
      </w:pPr>
      <w:r>
        <w:t>SSN(Patient), phy_ssn(Doctor), name(Pharm_co)</w:t>
      </w:r>
      <w:r w:rsidR="00D37D21">
        <w:t>, trade_name(Drug)</w:t>
      </w:r>
    </w:p>
    <w:p w14:paraId="4EA91CFC" w14:textId="736FF5B4" w:rsidR="00CF271A" w:rsidRDefault="00CF271A" w:rsidP="001305DF">
      <w:pPr>
        <w:pStyle w:val="ListParagraph"/>
        <w:numPr>
          <w:ilvl w:val="1"/>
          <w:numId w:val="7"/>
        </w:numPr>
      </w:pPr>
      <w:r>
        <w:t>Could we store a history of prescriptions made to the same patient, same doctor, and same drug</w:t>
      </w:r>
      <w:r w:rsidR="001305DF">
        <w:t>, but on different dates?</w:t>
      </w:r>
    </w:p>
    <w:p w14:paraId="2931E251" w14:textId="610DC8CC" w:rsidR="00D37D21" w:rsidRDefault="0088433A" w:rsidP="00D37D21">
      <w:pPr>
        <w:pStyle w:val="ListParagraph"/>
        <w:numPr>
          <w:ilvl w:val="2"/>
          <w:numId w:val="7"/>
        </w:numPr>
      </w:pPr>
      <w:r>
        <w:lastRenderedPageBreak/>
        <w:t>No because date is just an attribute of prescription. If it were an entity set we could track history.</w:t>
      </w:r>
    </w:p>
    <w:p w14:paraId="48C9BC7F" w14:textId="77777777" w:rsidR="00FD3CD3" w:rsidRDefault="00FD3CD3" w:rsidP="00FD3CD3">
      <w:pPr>
        <w:pStyle w:val="ListParagraph"/>
        <w:ind w:left="360"/>
      </w:pPr>
    </w:p>
    <w:p w14:paraId="7E5142E1" w14:textId="77777777" w:rsidR="003B17F5" w:rsidRDefault="003B17F5" w:rsidP="00FD3CD3">
      <w:pPr>
        <w:pStyle w:val="ListParagraph"/>
        <w:numPr>
          <w:ilvl w:val="0"/>
          <w:numId w:val="7"/>
        </w:numPr>
        <w:spacing w:after="120" w:line="240" w:lineRule="auto"/>
        <w:ind w:left="360"/>
      </w:pPr>
      <w:r>
        <w:t xml:space="preserve">In </w:t>
      </w:r>
      <w:r w:rsidR="00355CB2">
        <w:t>the ER diagram below</w:t>
      </w:r>
      <w:r>
        <w:t>, each sponsorship must be monitored by at most one employee. If a sponsorship must be monitored, but can be monitored by more than one employee, what do you have to change in the ER diagram to model the new requirement</w:t>
      </w:r>
      <w:r w:rsidR="00CB7361">
        <w:t>?</w:t>
      </w:r>
    </w:p>
    <w:p w14:paraId="0E7F9D6A" w14:textId="77777777" w:rsidR="0003248C" w:rsidRDefault="003B17F5" w:rsidP="0022318B">
      <w:pPr>
        <w:pStyle w:val="ListParagraph"/>
        <w:spacing w:after="12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B6D209B" wp14:editId="148894AE">
                <wp:extent cx="2772137" cy="2054506"/>
                <wp:effectExtent l="0" t="0" r="9525" b="31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137" cy="2054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BFFFF" w14:textId="77777777" w:rsidR="003B17F5" w:rsidRDefault="003B17F5">
                            <w:r w:rsidRPr="003B17F5">
                              <w:rPr>
                                <w:noProof/>
                              </w:rPr>
                              <w:drawing>
                                <wp:inline distT="0" distB="0" distL="0" distR="0" wp14:anchorId="1DFD6EE6" wp14:editId="1E943E68">
                                  <wp:extent cx="2495956" cy="1900472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0503" cy="1911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6D20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8.3pt;height:1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" stroked="f">
                <v:textbox>
                  <w:txbxContent>
                    <w:p w14:paraId="328BFFFF" w14:textId="77777777" w:rsidR="003B17F5" w:rsidRDefault="003B17F5">
                      <w:r w:rsidRPr="003B17F5">
                        <w:rPr>
                          <w:noProof/>
                        </w:rPr>
                        <w:drawing>
                          <wp:inline distT="0" distB="0" distL="0" distR="0" wp14:anchorId="1DFD6EE6" wp14:editId="1E943E68">
                            <wp:extent cx="2495956" cy="1900472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0503" cy="1911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C69FBB" w14:textId="524859FE" w:rsidR="00C53610" w:rsidRPr="009C5E6A" w:rsidRDefault="008E0D0A" w:rsidP="008E0D0A">
      <w:pPr>
        <w:pStyle w:val="ListParagraph"/>
        <w:spacing w:after="120" w:line="240" w:lineRule="auto"/>
      </w:pPr>
      <w:r>
        <w:t xml:space="preserve">Answer: We would have to change the </w:t>
      </w:r>
      <w:r w:rsidR="009C5E6A">
        <w:t>arrow</w:t>
      </w:r>
      <w:r>
        <w:t xml:space="preserve"> from </w:t>
      </w:r>
      <w:r w:rsidR="009C5E6A">
        <w:rPr>
          <w:b/>
          <w:bCs/>
        </w:rPr>
        <w:t xml:space="preserve">Sponsors </w:t>
      </w:r>
      <w:r w:rsidR="009C5E6A">
        <w:t xml:space="preserve">to </w:t>
      </w:r>
      <w:r w:rsidR="009C5E6A">
        <w:rPr>
          <w:b/>
          <w:bCs/>
        </w:rPr>
        <w:t xml:space="preserve">Monitors </w:t>
      </w:r>
      <w:r w:rsidR="009C5E6A">
        <w:t>to a bolded line</w:t>
      </w:r>
    </w:p>
    <w:p w14:paraId="6EEAB9EC" w14:textId="77777777" w:rsidR="00C53610" w:rsidRDefault="00C53610" w:rsidP="00851FF6">
      <w:pPr>
        <w:pStyle w:val="ListParagraph"/>
        <w:spacing w:after="120" w:line="240" w:lineRule="auto"/>
        <w:ind w:left="864"/>
      </w:pPr>
    </w:p>
    <w:sectPr w:rsidR="00C5361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97AF" w14:textId="77777777" w:rsidR="00360433" w:rsidRDefault="00360433" w:rsidP="00B56D03">
      <w:pPr>
        <w:spacing w:after="0" w:line="240" w:lineRule="auto"/>
      </w:pPr>
      <w:r>
        <w:separator/>
      </w:r>
    </w:p>
  </w:endnote>
  <w:endnote w:type="continuationSeparator" w:id="0">
    <w:p w14:paraId="78981060" w14:textId="77777777" w:rsidR="00360433" w:rsidRDefault="00360433" w:rsidP="00B5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47EC" w14:textId="77777777" w:rsidR="00360433" w:rsidRDefault="00360433" w:rsidP="00B56D03">
      <w:pPr>
        <w:spacing w:after="0" w:line="240" w:lineRule="auto"/>
      </w:pPr>
      <w:r>
        <w:separator/>
      </w:r>
    </w:p>
  </w:footnote>
  <w:footnote w:type="continuationSeparator" w:id="0">
    <w:p w14:paraId="6E3F02FB" w14:textId="77777777" w:rsidR="00360433" w:rsidRDefault="00360433" w:rsidP="00B5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638F" w14:textId="77777777" w:rsidR="00B07CA0" w:rsidRPr="00B07CA0" w:rsidRDefault="00B56D03" w:rsidP="00B07CA0">
    <w:pPr>
      <w:spacing w:after="0" w:line="240" w:lineRule="auto"/>
      <w:jc w:val="center"/>
      <w:rPr>
        <w:b/>
      </w:rPr>
    </w:pPr>
    <w:r w:rsidRPr="00B07CA0">
      <w:rPr>
        <w:b/>
      </w:rPr>
      <w:t xml:space="preserve">ComS 363 </w:t>
    </w:r>
    <w:r w:rsidR="005A76D7">
      <w:rPr>
        <w:b/>
      </w:rPr>
      <w:t>Spring 2022</w:t>
    </w:r>
    <w:r w:rsidR="00B07CA0" w:rsidRPr="00B07CA0">
      <w:rPr>
        <w:b/>
      </w:rPr>
      <w:t xml:space="preserve"> </w:t>
    </w:r>
  </w:p>
  <w:p w14:paraId="5C0739FE" w14:textId="77777777" w:rsidR="00B56D03" w:rsidRPr="00B07CA0" w:rsidRDefault="00B07CA0" w:rsidP="00B07CA0">
    <w:pPr>
      <w:spacing w:after="0" w:line="240" w:lineRule="auto"/>
      <w:jc w:val="center"/>
      <w:rPr>
        <w:b/>
        <w:bCs/>
      </w:rPr>
    </w:pPr>
    <w:r>
      <w:rPr>
        <w:b/>
        <w:bCs/>
      </w:rPr>
      <w:t>Class Participation on Tuesday of Week 2</w:t>
    </w:r>
  </w:p>
  <w:p w14:paraId="1C48A556" w14:textId="77777777" w:rsidR="00B56D03" w:rsidRDefault="00B56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33B"/>
    <w:multiLevelType w:val="hybridMultilevel"/>
    <w:tmpl w:val="45425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D755A"/>
    <w:multiLevelType w:val="hybridMultilevel"/>
    <w:tmpl w:val="7E7C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2A"/>
    <w:multiLevelType w:val="hybridMultilevel"/>
    <w:tmpl w:val="AD30B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772C"/>
    <w:multiLevelType w:val="hybridMultilevel"/>
    <w:tmpl w:val="48288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92C94"/>
    <w:multiLevelType w:val="hybridMultilevel"/>
    <w:tmpl w:val="E66A3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28A"/>
    <w:multiLevelType w:val="multilevel"/>
    <w:tmpl w:val="EA067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6" w15:restartNumberingAfterBreak="0">
    <w:nsid w:val="3A1169F7"/>
    <w:multiLevelType w:val="multilevel"/>
    <w:tmpl w:val="DDC4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35CEE"/>
    <w:multiLevelType w:val="multilevel"/>
    <w:tmpl w:val="BC8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93CBC"/>
    <w:multiLevelType w:val="hybridMultilevel"/>
    <w:tmpl w:val="D75C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785"/>
    <w:multiLevelType w:val="multilevel"/>
    <w:tmpl w:val="C1D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63816"/>
    <w:multiLevelType w:val="hybridMultilevel"/>
    <w:tmpl w:val="A676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  <w:lvlOverride w:ilvl="0">
      <w:lvl w:ilvl="0">
        <w:numFmt w:val="lowerLetter"/>
        <w:lvlText w:val="%1."/>
        <w:lvlJc w:val="left"/>
      </w:lvl>
    </w:lvlOverride>
  </w:num>
  <w:num w:numId="10">
    <w:abstractNumId w:val="6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7"/>
    <w:lvlOverride w:ilvl="0">
      <w:lvl w:ilvl="0">
        <w:numFmt w:val="lowerLetter"/>
        <w:lvlText w:val="%1."/>
        <w:lvlJc w:val="left"/>
      </w:lvl>
    </w:lvlOverride>
  </w:num>
  <w:num w:numId="12">
    <w:abstractNumId w:val="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jA2NzQwNzY0MzRX0lEKTi0uzszPAykwrAUAN1h3qywAAAA="/>
  </w:docVars>
  <w:rsids>
    <w:rsidRoot w:val="00571440"/>
    <w:rsid w:val="0003248C"/>
    <w:rsid w:val="000457E8"/>
    <w:rsid w:val="000C4F3B"/>
    <w:rsid w:val="001305DF"/>
    <w:rsid w:val="00165964"/>
    <w:rsid w:val="001C3339"/>
    <w:rsid w:val="00202F4D"/>
    <w:rsid w:val="002152BC"/>
    <w:rsid w:val="0022318B"/>
    <w:rsid w:val="00246366"/>
    <w:rsid w:val="00270BDD"/>
    <w:rsid w:val="00271B83"/>
    <w:rsid w:val="00282CFA"/>
    <w:rsid w:val="002B5497"/>
    <w:rsid w:val="00312E31"/>
    <w:rsid w:val="00355CB2"/>
    <w:rsid w:val="00360433"/>
    <w:rsid w:val="00386124"/>
    <w:rsid w:val="00390931"/>
    <w:rsid w:val="003B17F5"/>
    <w:rsid w:val="003B2061"/>
    <w:rsid w:val="003D552B"/>
    <w:rsid w:val="004213B1"/>
    <w:rsid w:val="00453216"/>
    <w:rsid w:val="00463A5F"/>
    <w:rsid w:val="00465155"/>
    <w:rsid w:val="004A1AD1"/>
    <w:rsid w:val="004D56AD"/>
    <w:rsid w:val="00571440"/>
    <w:rsid w:val="005802A6"/>
    <w:rsid w:val="00590194"/>
    <w:rsid w:val="005A76D7"/>
    <w:rsid w:val="005E411B"/>
    <w:rsid w:val="00657040"/>
    <w:rsid w:val="00682499"/>
    <w:rsid w:val="006A7A6B"/>
    <w:rsid w:val="0070253B"/>
    <w:rsid w:val="00724A26"/>
    <w:rsid w:val="00736D3F"/>
    <w:rsid w:val="00851FF6"/>
    <w:rsid w:val="00883E1D"/>
    <w:rsid w:val="0088433A"/>
    <w:rsid w:val="008E0D0A"/>
    <w:rsid w:val="008E7CCB"/>
    <w:rsid w:val="009409B3"/>
    <w:rsid w:val="00971D75"/>
    <w:rsid w:val="009C5E6A"/>
    <w:rsid w:val="00AC1676"/>
    <w:rsid w:val="00AE210E"/>
    <w:rsid w:val="00B0070C"/>
    <w:rsid w:val="00B07CA0"/>
    <w:rsid w:val="00B1696E"/>
    <w:rsid w:val="00B56D03"/>
    <w:rsid w:val="00B96016"/>
    <w:rsid w:val="00C53610"/>
    <w:rsid w:val="00C830C9"/>
    <w:rsid w:val="00C876E1"/>
    <w:rsid w:val="00CA2E1F"/>
    <w:rsid w:val="00CA6C1D"/>
    <w:rsid w:val="00CB7361"/>
    <w:rsid w:val="00CF271A"/>
    <w:rsid w:val="00D0170A"/>
    <w:rsid w:val="00D0186E"/>
    <w:rsid w:val="00D3079F"/>
    <w:rsid w:val="00D37D21"/>
    <w:rsid w:val="00E10E82"/>
    <w:rsid w:val="00E42C9F"/>
    <w:rsid w:val="00E43FFA"/>
    <w:rsid w:val="00ED0D66"/>
    <w:rsid w:val="00F00EC1"/>
    <w:rsid w:val="00F33DFB"/>
    <w:rsid w:val="00F34212"/>
    <w:rsid w:val="00F86305"/>
    <w:rsid w:val="00FA64D4"/>
    <w:rsid w:val="00FB0240"/>
    <w:rsid w:val="00FD3CD3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94B"/>
  <w15:chartTrackingRefBased/>
  <w15:docId w15:val="{DCF220AB-FA54-40DF-8419-6D435DB8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03"/>
  </w:style>
  <w:style w:type="paragraph" w:styleId="Footer">
    <w:name w:val="footer"/>
    <w:basedOn w:val="Normal"/>
    <w:link w:val="FooterChar"/>
    <w:uiPriority w:val="99"/>
    <w:unhideWhenUsed/>
    <w:rsid w:val="00B5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03"/>
  </w:style>
  <w:style w:type="character" w:customStyle="1" w:styleId="Heading1Char">
    <w:name w:val="Heading 1 Char"/>
    <w:basedOn w:val="DefaultParagraphFont"/>
    <w:link w:val="Heading1"/>
    <w:uiPriority w:val="9"/>
    <w:rsid w:val="00AC1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16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://pages.cs.wisc.edu/~dbbook/openAccess/thirdEdition/solutions/ans3ed-oddonly.pdf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Tavanapong, Wallapak [COM S]</dc:creator>
  <cp:keywords/>
  <dc:description/>
  <cp:lastModifiedBy>Ogbondah, Chimzim B</cp:lastModifiedBy>
  <cp:revision>3</cp:revision>
  <dcterms:created xsi:type="dcterms:W3CDTF">2022-01-25T16:39:00Z</dcterms:created>
  <dcterms:modified xsi:type="dcterms:W3CDTF">2022-01-27T16:19:00Z</dcterms:modified>
</cp:coreProperties>
</file>