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本实用新型公开了一种试剂灌装装置，包括瓶体固定座、升降组件以及穿刺头，解决了现有装置穿刺深度不可控的问题。</w:t>
      </w:r>
    </w:p>
    <w:p>
      <w:r>
        <w:t xml:space="preserve">1、一种液体容器，其特征在于，包括容器本体以及设于所述容器本体顶部的穿刺部。</w:t>
      </w:r>
    </w:p>
    <w:p>
      <w:r>
        <w:t xml:space="preserve">所述穿刺部包括基座与穿刺针，所述穿刺针可拆卸地安装于所述基座。</w:t>
      </w:r>
    </w:p>
    <w:p>
      <w:r>
        <w:t xml:space="preserve">所述容器本体的侧壁设有刻度线，用于指示剩余液量。</w:t>
      </w:r>
    </w:p>
    <w:p>
      <w:r>
        <w:t xml:space="preserve">2、根据权利要求1所述的液体容器，其特征在于，所述穿刺针为不锈钢材质。</w:t>
      </w:r>
    </w:p>
    <w:p>
      <w:r>
        <w:t xml:space="preserve">3、根据权利要求12-3任一项所述的液体容器，其特征在于，所述基座与所述容器本体螺纹连接。</w:t>
      </w:r>
    </w:p>
    <w:p>
      <w:r>
        <w:t xml:space="preserve">4、根据权利要求1-3任一项所述的液体容器，其特征在于，所述刻度线为激光蚀刻线。</w:t>
      </w:r>
    </w:p>
    <w:p>
      <w:pPr>
        <w:pStyle w:val="Heading1"/>
      </w:pPr>
      <w:r>
        <w:t xml:space="preserve">技术领域</w:t>
      </w:r>
    </w:p>
    <w:p>
      <w:r>
        <w:t xml:space="preserve">本实用新型涉及包装容器技术领域。</w:t>
      </w:r>
    </w:p>
    <w:p>
      <w:pPr>
        <w:pStyle w:val="Heading1"/>
      </w:pPr>
      <w:r>
        <w:t xml:space="preserve">背景技术</w:t>
      </w:r>
    </w:p>
    <w:p>
      <w:r>
        <w:t xml:space="preserve">现有液瓶在取液时需另行准备穿刺工具，使用不便。</w:t>
      </w:r>
    </w:p>
    <w:p>
      <w:r>
        <w:t xml:space="preserve">且穿刺后瓶口密封性下降，易造成液体污染。</w:t>
      </w:r>
    </w:p>
    <w:p>
      <w:pPr>
        <w:pStyle w:val="Heading1"/>
      </w:pPr>
      <w:r>
        <w:t xml:space="preserve">实用新型内容</w:t>
      </w:r>
    </w:p>
    <w:p>
      <w:r>
        <w:t xml:space="preserve">本实用新型的目的在于提供一种结构简单、密封可靠的液体容器。</w:t>
      </w:r>
    </w:p>
    <w:p>
      <w:pPr>
        <w:pStyle w:val="Heading1"/>
      </w:pPr>
      <w:r>
        <w:t xml:space="preserve">附图说明</w:t>
      </w:r>
    </w:p>
    <w:p>
      <w:r>
        <w:t xml:space="preserve">图1为本实用新型实施例的结构示意图；</w:t>
      </w:r>
    </w:p>
    <w:p>
      <w:pPr>
        <w:pStyle w:val="Heading1"/>
      </w:pPr>
      <w:r>
        <w:t xml:space="preserve">具体实施方式</w:t>
      </w:r>
    </w:p>
    <w:p>
      <w:r>
        <w:t xml:space="preserve">下面结合实施例对本实用新型作进一步说明。</w:t>
      </w:r>
    </w:p>
    <w:p>
      <w:r>
        <w:t xml:space="preserve">所述穿刺针的针尖与轴线呈三十度夹角，以降低穿刺阻力。</w:t>
      </w:r>
    </w:p>
    <w:p>
      <w:r>
        <w:drawing>
          <wp:inline distT="0" distB="0" distL="0" distR="0">
            <wp:extent cx="914400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图1</w:t>
      </w:r>
    </w:p>
    <w:p>
      <w:r>
        <w:drawing>
          <wp:inline distT="0" distB="0" distL="0" distR="0">
            <wp:extent cx="914400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图2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a7bda8ddcb8e705c52d82b12ab1ec075f7365d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2026-09-13T11:49:44.154Z</dcterms:created>
  <dcterms:modified xsi:type="dcterms:W3CDTF">2026-09-13T11:49:44.154Z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