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1A1A2E"/>
          <w:sz w:val="40"/>
        </w:rPr>
        <w:t>Infrastructure DR / RTO / RPO Report</w:t>
      </w:r>
    </w:p>
    <w:p>
      <w:pPr>
        <w:pStyle w:val="Heading2"/>
      </w:pPr>
      <w:r>
        <w:rPr>
          <w:rFonts w:ascii="Inter" w:hAnsi="Inter"/>
          <w:b/>
          <w:color w:val="16213E"/>
          <w:sz w:val="32"/>
        </w:rPr>
        <w:t>1. Overview</w:t>
      </w:r>
    </w:p>
    <w:p>
      <w:pPr>
        <w:jc w:val="left"/>
      </w:pPr>
      <w:r>
        <w:rPr>
          <w:rFonts w:ascii="Inter" w:hAnsi="Inter"/>
          <w:color w:val="333333"/>
          <w:sz w:val="22"/>
        </w:rPr>
        <w:t>This report documents the Disaster Recovery posture of the production AWS infrastructure, covering Recovery Time Objectives and Recovery Point Objectives.</w:t>
      </w:r>
    </w:p>
    <w:p>
      <w:pPr>
        <w:jc w:val="left"/>
      </w:pPr>
      <w:r>
        <w:rPr>
          <w:rFonts w:ascii="Inter" w:hAnsi="Inter"/>
          <w:color w:val="333333"/>
          <w:sz w:val="22"/>
        </w:rPr>
        <w:t>The platform uses a fully managed serverless architecture. Service-level failover is handled transparently by AWS, resulting in near-zero RTO and RPO for availability scenarios.</w:t>
      </w:r>
    </w:p>
    <w:p>
      <w:pPr>
        <w:pStyle w:val="Heading2"/>
      </w:pPr>
      <w:r>
        <w:rPr>
          <w:rFonts w:ascii="Inter" w:hAnsi="Inter"/>
          <w:b/>
          <w:color w:val="16213E"/>
          <w:sz w:val="32"/>
        </w:rPr>
        <w:t>2. Account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/>
            <w:tcBorders>
              <w:top w:val="single" w:sz="4" w:color="1A1A2E"/>
              <w:bottom w:val="single" w:sz="4" w:color="1A1A2E"/>
              <w:left w:val="single" w:sz="4" w:color="1A1A2E"/>
              <w:right w:val="single" w:sz="4" w:color="1A1A2E"/>
            </w:tcBorders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A1A2E"/>
            <w:tcBorders>
              <w:top w:val="single" w:sz="4" w:color="1A1A2E"/>
              <w:bottom w:val="single" w:sz="4" w:color="1A1A2E"/>
              <w:left w:val="single" w:sz="4" w:color="1A1A2E"/>
              <w:right w:val="single" w:sz="4" w:color="1A1A2E"/>
            </w:tcBorders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Account Name</w:t>
            </w:r>
          </w:p>
        </w:tc>
        <w:tc>
          <w:tcPr>
            <w:tcW w:type="dxa" w:w="4703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Production Environment</w:t>
            </w:r>
          </w:p>
        </w:tc>
      </w:tr>
      <w:tr>
        <w:tc>
          <w:tcPr>
            <w:tcW w:type="dxa" w:w="4703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Account ID</w:t>
            </w:r>
          </w:p>
        </w:tc>
        <w:tc>
          <w:tcPr>
            <w:tcW w:type="dxa" w:w="4703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123456789012</w:t>
            </w:r>
          </w:p>
        </w:tc>
      </w:tr>
      <w:tr>
        <w:tc>
          <w:tcPr>
            <w:tcW w:type="dxa" w:w="4703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Region</w:t>
            </w:r>
          </w:p>
        </w:tc>
        <w:tc>
          <w:tcPr>
            <w:tcW w:type="dxa" w:w="4703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ap-southeast-1 (Singapore)</w:t>
            </w:r>
          </w:p>
        </w:tc>
      </w:tr>
      <w:tr>
        <w:tc>
          <w:tcPr>
            <w:tcW w:type="dxa" w:w="4703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Architecture</w:t>
            </w:r>
          </w:p>
        </w:tc>
        <w:tc>
          <w:tcPr>
            <w:tcW w:type="dxa" w:w="4703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Serverless — Fully Managed</w:t>
            </w:r>
          </w:p>
        </w:tc>
      </w:tr>
    </w:tbl>
    <w:p/>
    <w:p>
      <w:pPr>
        <w:pStyle w:val="Heading2"/>
      </w:pPr>
      <w:r>
        <w:rPr>
          <w:rFonts w:ascii="Inter" w:hAnsi="Inter"/>
          <w:b/>
          <w:color w:val="16213E"/>
          <w:sz w:val="32"/>
        </w:rPr>
        <w:t>3. Service Availability — RTO &amp; RPO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1A2E"/>
            <w:tcBorders>
              <w:top w:val="single" w:sz="4" w:color="1A1A2E"/>
              <w:bottom w:val="single" w:sz="4" w:color="1A1A2E"/>
              <w:left w:val="single" w:sz="4" w:color="1A1A2E"/>
              <w:right w:val="single" w:sz="4" w:color="1A1A2E"/>
            </w:tcBorders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881"/>
            <w:shd w:fill="1A1A2E"/>
            <w:tcBorders>
              <w:top w:val="single" w:sz="4" w:color="1A1A2E"/>
              <w:bottom w:val="single" w:sz="4" w:color="1A1A2E"/>
              <w:left w:val="single" w:sz="4" w:color="1A1A2E"/>
              <w:right w:val="single" w:sz="4" w:color="1A1A2E"/>
            </w:tcBorders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AZ Config</w:t>
            </w:r>
          </w:p>
        </w:tc>
        <w:tc>
          <w:tcPr>
            <w:tcW w:type="dxa" w:w="1881"/>
            <w:shd w:fill="1A1A2E"/>
            <w:tcBorders>
              <w:top w:val="single" w:sz="4" w:color="1A1A2E"/>
              <w:bottom w:val="single" w:sz="4" w:color="1A1A2E"/>
              <w:left w:val="single" w:sz="4" w:color="1A1A2E"/>
              <w:right w:val="single" w:sz="4" w:color="1A1A2E"/>
            </w:tcBorders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RPO</w:t>
            </w:r>
          </w:p>
        </w:tc>
        <w:tc>
          <w:tcPr>
            <w:tcW w:type="dxa" w:w="1881"/>
            <w:shd w:fill="1A1A2E"/>
            <w:tcBorders>
              <w:top w:val="single" w:sz="4" w:color="1A1A2E"/>
              <w:bottom w:val="single" w:sz="4" w:color="1A1A2E"/>
              <w:left w:val="single" w:sz="4" w:color="1A1A2E"/>
              <w:right w:val="single" w:sz="4" w:color="1A1A2E"/>
            </w:tcBorders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RTO</w:t>
            </w:r>
          </w:p>
        </w:tc>
        <w:tc>
          <w:tcPr>
            <w:tcW w:type="dxa" w:w="1881"/>
            <w:shd w:fill="1A1A2E"/>
            <w:tcBorders>
              <w:top w:val="single" w:sz="4" w:color="1A1A2E"/>
              <w:bottom w:val="single" w:sz="4" w:color="1A1A2E"/>
              <w:left w:val="single" w:sz="4" w:color="1A1A2E"/>
              <w:right w:val="single" w:sz="4" w:color="1A1A2E"/>
            </w:tcBorders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Managed By</w:t>
            </w:r>
          </w:p>
        </w:tc>
      </w:tr>
      <w:tr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Lambda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Multi-AZ (automatic)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~1 min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AWS</w:t>
            </w:r>
          </w:p>
        </w:tc>
      </w:tr>
      <w:tr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API Gateway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Multi-AZ (automatic)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~1 min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AWS</w:t>
            </w:r>
          </w:p>
        </w:tc>
      </w:tr>
      <w:tr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DynamoDB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Multi-AZ (3 replicas)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~1 min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AWS</w:t>
            </w:r>
          </w:p>
        </w:tc>
      </w:tr>
      <w:tr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S3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Multi-AZ (3+ facilities)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~1 min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AWS</w:t>
            </w:r>
          </w:p>
        </w:tc>
      </w:tr>
      <w:tr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OpenSearch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Multi-AZ (configured)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~5 min</w:t>
            </w:r>
          </w:p>
        </w:tc>
        <w:tc>
          <w:tcPr>
            <w:tcW w:type="dxa" w:w="188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r/>
            <w:r>
              <w:rPr>
                <w:rFonts w:ascii="Inter" w:hAnsi="Inter"/>
                <w:sz w:val="20"/>
              </w:rPr>
              <w:t>AWS</w:t>
            </w:r>
          </w:p>
        </w:tc>
      </w:tr>
    </w:tbl>
    <w:p/>
    <w:p>
      <w:pPr>
        <w:pStyle w:val="Heading2"/>
      </w:pPr>
      <w:r>
        <w:rPr>
          <w:rFonts w:ascii="Inter" w:hAnsi="Inter"/>
          <w:b/>
          <w:color w:val="16213E"/>
          <w:sz w:val="32"/>
        </w:rPr>
        <w:t>4. Data Recovery</w:t>
      </w:r>
    </w:p>
    <w:p>
      <w:pPr>
        <w:pStyle w:val="ListBullet"/>
      </w:pPr>
      <w:r>
        <w:rPr>
          <w:rFonts w:ascii="Inter" w:hAnsi="Inter"/>
          <w:sz w:val="22"/>
        </w:rPr>
      </w:r>
      <w:r>
        <w:rPr>
          <w:rFonts w:ascii="Inter" w:hAnsi="Inter"/>
          <w:b/>
          <w:sz w:val="22"/>
        </w:rPr>
        <w:t>DynamoDB PITR</w:t>
      </w:r>
      <w:r>
        <w:rPr>
          <w:rFonts w:ascii="Inter" w:hAnsi="Inter"/>
          <w:sz w:val="22"/>
        </w:rPr>
        <w:t xml:space="preserve"> — enabled, 35-day retention, RPO ~5 minutes</w:t>
      </w:r>
    </w:p>
    <w:p>
      <w:pPr>
        <w:pStyle w:val="ListBullet"/>
      </w:pPr>
      <w:r>
        <w:rPr>
          <w:rFonts w:ascii="Inter" w:hAnsi="Inter"/>
          <w:sz w:val="22"/>
        </w:rPr>
      </w:r>
      <w:r>
        <w:rPr>
          <w:rFonts w:ascii="Inter" w:hAnsi="Inter"/>
          <w:b/>
          <w:sz w:val="22"/>
        </w:rPr>
        <w:t>S3 Versioning</w:t>
      </w:r>
      <w:r>
        <w:rPr>
          <w:rFonts w:ascii="Inter" w:hAnsi="Inter"/>
          <w:sz w:val="22"/>
        </w:rPr>
        <w:t xml:space="preserve"> — enabled, zero RPO for individual objects</w:t>
      </w:r>
    </w:p>
    <w:p>
      <w:pPr>
        <w:pStyle w:val="ListBullet"/>
      </w:pPr>
      <w:r>
        <w:rPr>
          <w:rFonts w:ascii="Inter" w:hAnsi="Inter"/>
          <w:sz w:val="22"/>
        </w:rPr>
      </w:r>
      <w:r>
        <w:rPr>
          <w:rFonts w:ascii="Inter" w:hAnsi="Inter"/>
          <w:b/>
          <w:sz w:val="22"/>
        </w:rPr>
        <w:t>OpenSearch Daily Snapshot</w:t>
      </w:r>
      <w:r>
        <w:rPr>
          <w:rFonts w:ascii="Inter" w:hAnsi="Inter"/>
          <w:sz w:val="22"/>
        </w:rPr>
        <w:t xml:space="preserve"> — 24-hour RPO, stored in S3</w:t>
      </w:r>
    </w:p>
    <w:p>
      <w:pPr>
        <w:pStyle w:val="Heading2"/>
      </w:pPr>
      <w:r>
        <w:rPr>
          <w:rFonts w:ascii="Inter" w:hAnsi="Inter"/>
          <w:b/>
          <w:color w:val="16213E"/>
          <w:sz w:val="32"/>
        </w:rPr>
        <w:t>5. Recommendations</w:t>
      </w:r>
    </w:p>
    <w:p>
      <w:pPr>
        <w:pStyle w:val="ListBullet"/>
      </w:pPr>
      <w:r>
        <w:rPr>
          <w:rFonts w:ascii="Inter" w:hAnsi="Inter"/>
          <w:sz w:val="22"/>
        </w:rPr>
        <w:t>Increase OpenSearch snapshot frequency to hourly</w:t>
      </w:r>
    </w:p>
    <w:p>
      <w:pPr>
        <w:pStyle w:val="ListBullet"/>
      </w:pPr>
      <w:r>
        <w:rPr>
          <w:rFonts w:ascii="Inter" w:hAnsi="Inter"/>
          <w:sz w:val="22"/>
        </w:rPr>
        <w:t>Implement cross-region backup for critical data</w:t>
      </w:r>
    </w:p>
    <w:p>
      <w:pPr>
        <w:pStyle w:val="ListBullet"/>
      </w:pPr>
      <w:r>
        <w:rPr>
          <w:rFonts w:ascii="Inter" w:hAnsi="Inter"/>
          <w:sz w:val="22"/>
        </w:rPr>
        <w:t>Document re-index-from-DynamoDB runbook as alternative recovery path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