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2"/>
      </w:tblGrid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2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10</Pages>
  <Words>4861</Words>
  <Characters>8220</Characters>
  <CharactersWithSpaces>8220</CharactersWithSpaces>
  <Paragraphs>440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2022-07-26T18:13:40Z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