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5"/>
        <w:gridCol w:w="5334"/>
        <w:gridCol w:w="5297"/>
      </w:tblGrid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loop</w:t>
            </w:r>
            <w:r>
              <w:rPr>
                <w:rFonts w:eastAsia="宋体" w:ascii="宋体" w:hAnsi="宋体"/>
              </w:rPr>
              <w:t>_N_vol_value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output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_N_tem_value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</w:t>
            </w:r>
            <w:r>
              <w:rPr>
                <w:rFonts w:eastAsia="宋体" w:ascii="宋体" w:hAnsi="宋体"/>
              </w:rPr>
              <w:t>tem</w:t>
            </w:r>
            <w:r>
              <w:rPr>
                <w:rFonts w:eastAsia="宋体" w:ascii="宋体" w:hAnsi="宋体"/>
              </w:rPr>
              <w:t>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</w:t>
            </w:r>
            <w:r>
              <w:rPr>
                <w:rFonts w:eastAsia="宋体" w:ascii="宋体" w:hAnsi="宋体"/>
              </w:rPr>
              <w:t>tem</w:t>
            </w:r>
            <w:r>
              <w:rPr>
                <w:rFonts w:eastAsia="宋体" w:ascii="宋体" w:hAnsi="宋体"/>
              </w:rPr>
              <w:t>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</w:t>
            </w:r>
            <w:r>
              <w:rPr>
                <w:rFonts w:eastAsia="宋体" w:ascii="宋体" w:hAnsi="宋体"/>
              </w:rPr>
              <w:t>hum</w:t>
            </w:r>
            <w:r>
              <w:rPr>
                <w:rFonts w:eastAsia="宋体" w:ascii="宋体" w:hAnsi="宋体"/>
              </w:rPr>
              <w:t>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</w:t>
            </w:r>
            <w:r>
              <w:rPr>
                <w:rFonts w:eastAsia="宋体" w:ascii="宋体" w:hAnsi="宋体"/>
              </w:rPr>
              <w:t>hum</w:t>
            </w:r>
            <w:r>
              <w:rPr>
                <w:rFonts w:eastAsia="宋体" w:ascii="宋体" w:hAnsi="宋体"/>
              </w:rPr>
              <w:t>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_N_hum_alarm_min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sensor</w:t>
            </w:r>
            <w:r>
              <w:rPr>
                <w:rFonts w:eastAsia="宋体" w:ascii="宋体" w:hAnsi="宋体"/>
              </w:rPr>
              <w:t>_door_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one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pdu_X_sensor_door_two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pdu_X_sensor_smoke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pdu_X_sensor_water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8590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b8590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b8590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b8590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5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LibreOffice/6.4.7.2$Linux_X86_64 LibreOffice_project/40$Build-2</Application>
  <Pages>9</Pages>
  <Words>4618</Words>
  <Characters>7961</Characters>
  <CharactersWithSpaces>7961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2022-07-01T13:42:36Z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