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120"/>
      </w:pPr>
      <w:r>
        <w:rPr>
          <w:rFonts w:ascii="Calibri" w:hAnsi="Calibri" w:eastAsia="Calibri"/>
          <w:b/>
          <w:i w:val="0"/>
          <w:color w:val="1A1A1A"/>
          <w:sz w:val="32"/>
        </w:rPr>
        <w:t>COMP4447 / COMP5047 Project Proposal</w:t>
      </w:r>
    </w:p>
    <w:p>
      <w:pPr>
        <w:spacing w:after="80" w:before="0" w:line="259" w:lineRule="auto"/>
      </w:pPr>
      <w:r>
        <w:rPr>
          <w:rFonts w:ascii="Calibri" w:hAnsi="Calibri" w:eastAsia="Calibri"/>
          <w:b/>
          <w:i w:val="0"/>
          <w:sz w:val="28"/>
        </w:rPr>
        <w:t>Wildlife-First Adaptive Path Light</w:t>
      </w:r>
    </w:p>
    <w:p>
      <w:pPr>
        <w:spacing w:after="200" w:before="0" w:line="259" w:lineRule="auto"/>
      </w:pPr>
      <w:r>
        <w:rPr>
          <w:rFonts w:ascii="Calibri" w:hAnsi="Calibri" w:eastAsia="Calibri"/>
          <w:b w:val="0"/>
          <w:i/>
          <w:color w:val="555555"/>
          <w:sz w:val="20"/>
        </w:rPr>
        <w:t>University of Sydney  ·  Semester 2 2026  ·  Week 4 proposal (1–2 pages)</w:t>
      </w:r>
    </w:p>
    <w:p>
      <w:pPr>
        <w:pStyle w:val="Heading2"/>
        <w:spacing w:before="200" w:after="120"/>
      </w:pPr>
      <w:r>
        <w:rPr>
          <w:rFonts w:ascii="Calibri" w:hAnsi="Calibri" w:eastAsia="Calibri"/>
          <w:b/>
          <w:i w:val="0"/>
          <w:color w:val="1A1A1A"/>
          <w:sz w:val="26"/>
        </w:rPr>
        <w:t>Team members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E8E8E8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Name</w:t>
            </w:r>
          </w:p>
        </w:tc>
        <w:tc>
          <w:tcPr>
            <w:tcW w:type="dxa" w:w="2409"/>
            <w:shd w:fill="E8E8E8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Email</w:t>
            </w:r>
          </w:p>
        </w:tc>
        <w:tc>
          <w:tcPr>
            <w:tcW w:type="dxa" w:w="2409"/>
            <w:shd w:fill="E8E8E8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Student ID</w:t>
            </w:r>
          </w:p>
        </w:tc>
        <w:tc>
          <w:tcPr>
            <w:tcW w:type="dxa" w:w="2409"/>
            <w:shd w:fill="E8E8E8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Project manager?</w:t>
            </w:r>
          </w:p>
        </w:tc>
      </w:tr>
      <w:tr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Xinlong Bao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xbao0618@uni.sydney.edu.au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550048909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Tianqi Wang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twan0795@uni.sydney.edu.au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550216999</w:t>
            </w:r>
          </w:p>
        </w:tc>
        <w:tc>
          <w:tcPr>
            <w:tcW w:type="dxa" w:w="240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☐</w:t>
            </w:r>
          </w:p>
        </w:tc>
      </w:tr>
    </w:tbl>
    <w:p>
      <w:pPr>
        <w:spacing w:after="120"/>
      </w:pPr>
    </w:p>
    <w:p>
      <w:pPr>
        <w:spacing w:after="160" w:before="0" w:line="259" w:lineRule="auto"/>
      </w:pPr>
      <w:r>
        <w:rPr>
          <w:rFonts w:ascii="Calibri" w:hAnsi="Calibri" w:eastAsia="Calibri"/>
          <w:b w:val="0"/>
          <w:i/>
          <w:sz w:val="20"/>
        </w:rPr>
        <w:t>Tick exactly one PM. Proposed split (swap if needed): Xinlong — hardware and enclosure; Tianqi — firmware and docs. Shared: integrate, dusk trials, video, presentation. Two people does not reduce scope.</w:t>
      </w:r>
    </w:p>
    <w:p>
      <w:pPr>
        <w:pStyle w:val="Heading2"/>
        <w:spacing w:before="200" w:after="120"/>
      </w:pPr>
      <w:r>
        <w:rPr>
          <w:rFonts w:ascii="Calibri" w:hAnsi="Calibri" w:eastAsia="Calibri"/>
          <w:b/>
          <w:i w:val="0"/>
          <w:color w:val="1A1A1A"/>
          <w:sz w:val="26"/>
        </w:rPr>
        <w:t>Challenge statement</w:t>
      </w:r>
    </w:p>
    <w:p>
      <w:pPr>
        <w:spacing w:after="160" w:before="0" w:line="259" w:lineRule="auto"/>
      </w:pPr>
      <w:r>
        <w:rPr>
          <w:rFonts w:ascii="Calibri" w:hAnsi="Calibri" w:eastAsia="Calibri"/>
          <w:b w:val="0"/>
          <w:i w:val="0"/>
          <w:sz w:val="22"/>
        </w:rPr>
        <w:t>Artificial light at night (ALAN) is among the fastest-growing pollutants globally (skyglow ~9.6%/year; Kyba et al. 2023). Standard path lighting treats darkness as a human hazard to eliminate, and wildlife impact as an externality. For nocturnal species that share remnant bushland edges with people, darkness is habitat: commuting space, foraging space, and the insect prey base that insectivorous microbats depend on.</w:t>
      </w:r>
    </w:p>
    <w:p>
      <w:pPr>
        <w:spacing w:after="160" w:before="0" w:line="259" w:lineRule="auto"/>
      </w:pPr>
      <w:r>
        <w:rPr>
          <w:rFonts w:ascii="Calibri" w:hAnsi="Calibri" w:eastAsia="Calibri"/>
          <w:b w:val="0"/>
          <w:i w:val="0"/>
          <w:sz w:val="22"/>
        </w:rPr>
        <w:t>We address one local situation: a bushland-edge pedestrian path in a Sydney urban park. Across Greater Sydney, light at the forest edge is an anthropogenic barrier. Clutter-adapted microbats — notably Gould’s long-eared bat (</w:t>
      </w:r>
      <w:r>
        <w:rPr>
          <w:rFonts w:ascii="Calibri" w:hAnsi="Calibri" w:eastAsia="Calibri"/>
          <w:b w:val="0"/>
          <w:i/>
          <w:sz w:val="22"/>
        </w:rPr>
        <w:t>Nyctophilus gouldi</w:t>
      </w:r>
      <w:r>
        <w:rPr>
          <w:rFonts w:ascii="Calibri" w:hAnsi="Calibri" w:eastAsia="Calibri"/>
          <w:b w:val="0"/>
          <w:i w:val="0"/>
          <w:sz w:val="22"/>
        </w:rPr>
        <w:t>), plus chocolate wattled bat (</w:t>
      </w:r>
      <w:r>
        <w:rPr>
          <w:rFonts w:ascii="Calibri" w:hAnsi="Calibri" w:eastAsia="Calibri"/>
          <w:b w:val="0"/>
          <w:i/>
          <w:sz w:val="22"/>
        </w:rPr>
        <w:t>Chalinolobus morio</w:t>
      </w:r>
      <w:r>
        <w:rPr>
          <w:rFonts w:ascii="Calibri" w:hAnsi="Calibri" w:eastAsia="Calibri"/>
          <w:b w:val="0"/>
          <w:i w:val="0"/>
          <w:sz w:val="22"/>
        </w:rPr>
        <w:t>) and little forest bat (</w:t>
      </w:r>
      <w:r>
        <w:rPr>
          <w:rFonts w:ascii="Calibri" w:hAnsi="Calibri" w:eastAsia="Calibri"/>
          <w:b w:val="0"/>
          <w:i/>
          <w:sz w:val="22"/>
        </w:rPr>
        <w:t>Vespadelus vulturnus</w:t>
      </w:r>
      <w:r>
        <w:rPr>
          <w:rFonts w:ascii="Calibri" w:hAnsi="Calibri" w:eastAsia="Calibri"/>
          <w:b w:val="0"/>
          <w:i w:val="0"/>
          <w:sz w:val="22"/>
        </w:rPr>
        <w:t xml:space="preserve">) — are less active at lit edges than in dark interiors, and </w:t>
      </w:r>
      <w:r>
        <w:rPr>
          <w:rFonts w:ascii="Calibri" w:hAnsi="Calibri" w:eastAsia="Calibri"/>
          <w:b w:val="0"/>
          <w:i/>
          <w:sz w:val="22"/>
        </w:rPr>
        <w:t>N. gouldi</w:t>
      </w:r>
      <w:r>
        <w:rPr>
          <w:rFonts w:ascii="Calibri" w:hAnsi="Calibri" w:eastAsia="Calibri"/>
          <w:b w:val="0"/>
          <w:i w:val="0"/>
          <w:sz w:val="22"/>
        </w:rPr>
        <w:t xml:space="preserve"> is almost confined to remnant bushland (Threlfall et al. 2013; Haddock et al. 2019a). Faster open-space species such as Gould’s wattled bat (</w:t>
      </w:r>
      <w:r>
        <w:rPr>
          <w:rFonts w:ascii="Calibri" w:hAnsi="Calibri" w:eastAsia="Calibri"/>
          <w:b w:val="0"/>
          <w:i/>
          <w:sz w:val="22"/>
        </w:rPr>
        <w:t>C. gouldii</w:t>
      </w:r>
      <w:r>
        <w:rPr>
          <w:rFonts w:ascii="Calibri" w:hAnsi="Calibri" w:eastAsia="Calibri"/>
          <w:b w:val="0"/>
          <w:i w:val="0"/>
          <w:sz w:val="22"/>
        </w:rPr>
        <w:t>) and the white-striped free-tailed bat (</w:t>
      </w:r>
      <w:r>
        <w:rPr>
          <w:rFonts w:ascii="Calibri" w:hAnsi="Calibri" w:eastAsia="Calibri"/>
          <w:b w:val="0"/>
          <w:i/>
          <w:sz w:val="22"/>
        </w:rPr>
        <w:t>Austronomus australis</w:t>
      </w:r>
      <w:r>
        <w:rPr>
          <w:rFonts w:ascii="Calibri" w:hAnsi="Calibri" w:eastAsia="Calibri"/>
          <w:b w:val="0"/>
          <w:i w:val="0"/>
          <w:sz w:val="22"/>
        </w:rPr>
        <w:t xml:space="preserve">) still use lit edges; that is not a licence to light. Cool-white and even filtered-white LEDs pull flying insects out of vegetation </w:t>
      </w:r>
      <w:r>
        <w:rPr>
          <w:rFonts w:ascii="Calibri" w:hAnsi="Calibri" w:eastAsia="Calibri"/>
          <w:b/>
          <w:i w:val="0"/>
          <w:sz w:val="22"/>
        </w:rPr>
        <w:t>without</w:t>
      </w:r>
      <w:r>
        <w:rPr>
          <w:rFonts w:ascii="Calibri" w:hAnsi="Calibri" w:eastAsia="Calibri"/>
          <w:b w:val="0"/>
          <w:i w:val="0"/>
          <w:sz w:val="22"/>
        </w:rPr>
        <w:t xml:space="preserve"> a matching increase in bat feeding (Robert et al. 2025). National guidance is therefore: keep connecting corridors dark; if a person must walk, use low, warm, downward, shielded light, on only while they are there (DCCEEW 2023).</w:t>
      </w:r>
    </w:p>
    <w:p>
      <w:pPr>
        <w:pStyle w:val="Heading2"/>
        <w:spacing w:before="200" w:after="120"/>
      </w:pPr>
      <w:r>
        <w:rPr>
          <w:rFonts w:ascii="Calibri" w:hAnsi="Calibri" w:eastAsia="Calibri"/>
          <w:b/>
          <w:i w:val="0"/>
          <w:color w:val="1A1A1A"/>
          <w:sz w:val="26"/>
        </w:rPr>
        <w:t>Non-human stakeholder analysis</w:t>
      </w:r>
    </w:p>
    <w:p>
      <w:pPr>
        <w:spacing w:after="160" w:before="0" w:line="259" w:lineRule="auto"/>
      </w:pPr>
      <w:r>
        <w:rPr>
          <w:rFonts w:ascii="Calibri" w:hAnsi="Calibri" w:eastAsia="Calibri"/>
          <w:b w:val="0"/>
          <w:i/>
          <w:sz w:val="22"/>
        </w:rPr>
      </w:r>
      <w:r>
        <w:rPr>
          <w:rFonts w:ascii="Calibri" w:hAnsi="Calibri" w:eastAsia="Calibri"/>
          <w:b w:val="0"/>
          <w:i/>
          <w:sz w:val="22"/>
        </w:rPr>
        <w:t>Primary — Gould’s long-eared bat (</w:t>
      </w:r>
      <w:r>
        <w:rPr>
          <w:rFonts w:ascii="Calibri" w:hAnsi="Calibri" w:eastAsia="Calibri"/>
          <w:b w:val="0"/>
          <w:i w:val="0"/>
          <w:sz w:val="22"/>
        </w:rPr>
        <w:t>N. gouldi</w:t>
      </w:r>
      <w:r>
        <w:rPr>
          <w:rFonts w:ascii="Calibri" w:hAnsi="Calibri" w:eastAsia="Calibri"/>
          <w:b w:val="0"/>
          <w:i/>
          <w:sz w:val="22"/>
        </w:rPr>
        <w:t>) and other clutter-adapted Sydney edge species.</w:t>
      </w:r>
      <w:r>
        <w:rPr>
          <w:rFonts w:ascii="Calibri" w:hAnsi="Calibri" w:eastAsia="Calibri"/>
          <w:b w:val="0"/>
          <w:i/>
          <w:sz w:val="22"/>
        </w:rPr>
        <w:t xml:space="preserve"> Radio-tracked </w:t>
      </w:r>
      <w:r>
        <w:rPr>
          <w:rFonts w:ascii="Calibri" w:hAnsi="Calibri" w:eastAsia="Calibri"/>
          <w:b w:val="0"/>
          <w:i w:val="0"/>
          <w:sz w:val="22"/>
        </w:rPr>
        <w:t>N. gouldi</w:t>
      </w:r>
      <w:r>
        <w:rPr>
          <w:rFonts w:ascii="Calibri" w:hAnsi="Calibri" w:eastAsia="Calibri"/>
          <w:b w:val="0"/>
          <w:i/>
          <w:sz w:val="22"/>
        </w:rPr>
        <w:t xml:space="preserve"> in Cumberland State Forest barely enter the urban matrix; lit gaps inside remnant bush suppress </w:t>
      </w:r>
      <w:r>
        <w:rPr>
          <w:rFonts w:ascii="Calibri" w:hAnsi="Calibri" w:eastAsia="Calibri"/>
          <w:b w:val="0"/>
          <w:i w:val="0"/>
          <w:sz w:val="22"/>
        </w:rPr>
        <w:t>Nyctophilus</w:t>
      </w:r>
      <w:r>
        <w:rPr>
          <w:rFonts w:ascii="Calibri" w:hAnsi="Calibri" w:eastAsia="Calibri"/>
          <w:b w:val="0"/>
          <w:i/>
          <w:sz w:val="22"/>
        </w:rPr>
        <w:t xml:space="preserve"> activity (Threlfall et al. 2013). Haddock et al. (2019a) found the same pattern at 31 Greater Sydney forest edges for </w:t>
      </w:r>
      <w:r>
        <w:rPr>
          <w:rFonts w:ascii="Calibri" w:hAnsi="Calibri" w:eastAsia="Calibri"/>
          <w:b w:val="0"/>
          <w:i w:val="0"/>
          <w:sz w:val="22"/>
        </w:rPr>
        <w:t>Nyctophilus</w:t>
      </w:r>
      <w:r>
        <w:rPr>
          <w:rFonts w:ascii="Calibri" w:hAnsi="Calibri" w:eastAsia="Calibri"/>
          <w:b w:val="0"/>
          <w:i/>
          <w:sz w:val="22"/>
        </w:rPr>
        <w:t xml:space="preserve"> spp., </w:t>
      </w:r>
      <w:r>
        <w:rPr>
          <w:rFonts w:ascii="Calibri" w:hAnsi="Calibri" w:eastAsia="Calibri"/>
          <w:b w:val="0"/>
          <w:i w:val="0"/>
          <w:sz w:val="22"/>
        </w:rPr>
        <w:t>C. morio</w:t>
      </w:r>
      <w:r>
        <w:rPr>
          <w:rFonts w:ascii="Calibri" w:hAnsi="Calibri" w:eastAsia="Calibri"/>
          <w:b w:val="0"/>
          <w:i/>
          <w:sz w:val="22"/>
        </w:rPr>
        <w:t xml:space="preserve"> and </w:t>
      </w:r>
      <w:r>
        <w:rPr>
          <w:rFonts w:ascii="Calibri" w:hAnsi="Calibri" w:eastAsia="Calibri"/>
          <w:b w:val="0"/>
          <w:i w:val="0"/>
          <w:sz w:val="22"/>
        </w:rPr>
        <w:t>V. vulturnus*. Need: a dark, glare-free vegetation corridor.</w:t>
      </w:r>
    </w:p>
    <w:p>
      <w:pPr>
        <w:spacing w:after="160" w:before="0" w:line="259" w:lineRule="auto"/>
      </w:pPr>
      <w:r>
        <w:rPr>
          <w:rFonts w:ascii="Calibri" w:hAnsi="Calibri" w:eastAsia="Calibri"/>
          <w:b w:val="0"/>
          <w:i/>
          <w:sz w:val="22"/>
        </w:rPr>
      </w:r>
      <w:r>
        <w:rPr>
          <w:rFonts w:ascii="Calibri" w:hAnsi="Calibri" w:eastAsia="Calibri"/>
          <w:b w:val="0"/>
          <w:i/>
          <w:sz w:val="22"/>
        </w:rPr>
        <w:t>Secondary — co-occurring open-space microbats (</w:t>
      </w:r>
      <w:r>
        <w:rPr>
          <w:rFonts w:ascii="Calibri" w:hAnsi="Calibri" w:eastAsia="Calibri"/>
          <w:b w:val="0"/>
          <w:i w:val="0"/>
          <w:sz w:val="22"/>
        </w:rPr>
        <w:t>C. gouldii</w:t>
      </w:r>
      <w:r>
        <w:rPr>
          <w:rFonts w:ascii="Calibri" w:hAnsi="Calibri" w:eastAsia="Calibri"/>
          <w:b w:val="0"/>
          <w:i/>
          <w:sz w:val="22"/>
        </w:rPr>
        <w:t xml:space="preserve">, </w:t>
      </w:r>
      <w:r>
        <w:rPr>
          <w:rFonts w:ascii="Calibri" w:hAnsi="Calibri" w:eastAsia="Calibri"/>
          <w:b w:val="0"/>
          <w:i w:val="0"/>
          <w:sz w:val="22"/>
        </w:rPr>
        <w:t>A. australis</w:t>
      </w:r>
      <w:r>
        <w:rPr>
          <w:rFonts w:ascii="Calibri" w:hAnsi="Calibri" w:eastAsia="Calibri"/>
          <w:b w:val="0"/>
          <w:i/>
          <w:sz w:val="22"/>
        </w:rPr>
        <w:t>).</w:t>
      </w:r>
      <w:r>
        <w:rPr>
          <w:rFonts w:ascii="Calibri" w:hAnsi="Calibri" w:eastAsia="Calibri"/>
          <w:b w:val="0"/>
          <w:i/>
          <w:sz w:val="22"/>
        </w:rPr>
        <w:t xml:space="preserve"> Light-tolerant at Sydney edges (Haddock et al. 2019a); </w:t>
      </w:r>
      <w:r>
        <w:rPr>
          <w:rFonts w:ascii="Calibri" w:hAnsi="Calibri" w:eastAsia="Calibri"/>
          <w:b w:val="0"/>
          <w:i w:val="0"/>
          <w:sz w:val="22"/>
        </w:rPr>
        <w:t>C. gouldii</w:t>
      </w:r>
      <w:r>
        <w:rPr>
          <w:rFonts w:ascii="Calibri" w:hAnsi="Calibri" w:eastAsia="Calibri"/>
          <w:b w:val="0"/>
          <w:i/>
          <w:sz w:val="22"/>
        </w:rPr>
        <w:t xml:space="preserve"> shows no short-term melatonin disruption under several LED spectra (Dimovski et al. 2023). They still do not gain a feeding benefit when LEDs vacuum insects (Robert et al. 2025). Need: dark intervals and no cool-white prey trap. Their louder calls are the </w:t>
      </w:r>
      <w:r>
        <w:rPr>
          <w:rFonts w:ascii="Calibri" w:hAnsi="Calibri" w:eastAsia="Calibri"/>
          <w:b w:val="0"/>
          <w:i/>
          <w:sz w:val="22"/>
        </w:rPr>
        <w:t>acoustic proxy</w:t>
      </w:r>
      <w:r>
        <w:rPr>
          <w:rFonts w:ascii="Calibri" w:hAnsi="Calibri" w:eastAsia="Calibri"/>
          <w:b w:val="0"/>
          <w:i/>
          <w:sz w:val="22"/>
        </w:rPr>
        <w:t xml:space="preserve"> that the corridor is in use (</w:t>
      </w:r>
      <w:r>
        <w:rPr>
          <w:rFonts w:ascii="Calibri" w:hAnsi="Calibri" w:eastAsia="Calibri"/>
          <w:b w:val="0"/>
          <w:i w:val="0"/>
          <w:sz w:val="22"/>
        </w:rPr>
        <w:t>C. gouldii</w:t>
      </w:r>
      <w:r>
        <w:rPr>
          <w:rFonts w:ascii="Calibri" w:hAnsi="Calibri" w:eastAsia="Calibri"/>
          <w:b w:val="0"/>
          <w:i/>
          <w:sz w:val="22"/>
        </w:rPr>
        <w:t xml:space="preserve"> ~25–34 kHz; </w:t>
      </w:r>
      <w:r>
        <w:rPr>
          <w:rFonts w:ascii="Calibri" w:hAnsi="Calibri" w:eastAsia="Calibri"/>
          <w:b w:val="0"/>
          <w:i w:val="0"/>
          <w:sz w:val="22"/>
        </w:rPr>
        <w:t>A. australis* search calls ~10–15 kHz, often audible — Pennay et al.).</w:t>
      </w:r>
    </w:p>
    <w:p>
      <w:pPr>
        <w:spacing w:after="160" w:before="0" w:line="259" w:lineRule="auto"/>
      </w:pPr>
      <w:r>
        <w:rPr>
          <w:rFonts w:ascii="Calibri" w:hAnsi="Calibri" w:eastAsia="Calibri"/>
          <w:b/>
          <w:i w:val="0"/>
          <w:sz w:val="22"/>
        </w:rPr>
        <w:t>Tertiary — nocturnal moths and other flying invertebrates.</w:t>
      </w:r>
      <w:r>
        <w:rPr>
          <w:rFonts w:ascii="Calibri" w:hAnsi="Calibri" w:eastAsia="Calibri"/>
          <w:b w:val="0"/>
          <w:i w:val="0"/>
          <w:sz w:val="22"/>
        </w:rPr>
        <w:t xml:space="preserve"> White LEDs are an ecological trap; a large fraction of insects at lamps die (Owens &amp; Lewis 2018; Owens et al. 2020). Need: not an always-on cool-white beacon.</w:t>
      </w:r>
    </w:p>
    <w:p>
      <w:pPr>
        <w:spacing w:after="160" w:before="0" w:line="259" w:lineRule="auto"/>
      </w:pPr>
      <w:r>
        <w:rPr>
          <w:rFonts w:ascii="Calibri" w:hAnsi="Calibri" w:eastAsia="Calibri"/>
          <w:b w:val="0"/>
          <w:i w:val="0"/>
          <w:sz w:val="22"/>
        </w:rPr>
        <w:t>The system does not claim to know what a bat wants (Mancini 2016). It operationalises DCCEEW / EUROBATS consensus — less light, warmer spectrum, shorter duration, directional shielding, on only when a person is present — as default behaviour.</w:t>
      </w:r>
    </w:p>
    <w:p>
      <w:pPr>
        <w:pStyle w:val="Heading2"/>
        <w:spacing w:before="200" w:after="120"/>
      </w:pPr>
      <w:r>
        <w:rPr>
          <w:rFonts w:ascii="Calibri" w:hAnsi="Calibri" w:eastAsia="Calibri"/>
          <w:b/>
          <w:i w:val="0"/>
          <w:color w:val="1A1A1A"/>
          <w:sz w:val="26"/>
        </w:rPr>
        <w:t>Project idea</w:t>
      </w:r>
    </w:p>
    <w:p>
      <w:pPr>
        <w:spacing w:after="160" w:before="0" w:line="259" w:lineRule="auto"/>
      </w:pPr>
      <w:r>
        <w:rPr>
          <w:rFonts w:ascii="Calibri" w:hAnsi="Calibri" w:eastAsia="Calibri"/>
          <w:b/>
          <w:i w:val="0"/>
          <w:sz w:val="22"/>
        </w:rPr>
        <w:t>Context of use.</w:t>
      </w:r>
      <w:r>
        <w:rPr>
          <w:rFonts w:ascii="Calibri" w:hAnsi="Calibri" w:eastAsia="Calibri"/>
          <w:b w:val="0"/>
          <w:i w:val="0"/>
          <w:sz w:val="22"/>
        </w:rPr>
        <w:t xml:space="preserve"> A low bollard on the walkable side of a bushland-edge path. Default: off. Sensing runs continuously at low power. There is no screen, app, or explicit human UI. The interaction is ambient: light appears, a 180° blade shields the bush, and both withdraw by themselves.</w:t>
      </w:r>
    </w:p>
    <w:p>
      <w:pPr>
        <w:spacing w:after="80" w:before="0" w:line="259" w:lineRule="auto"/>
      </w:pPr>
      <w:r>
        <w:rPr>
          <w:rFonts w:ascii="Calibri" w:hAnsi="Calibri" w:eastAsia="Calibri"/>
          <w:b/>
          <w:i w:val="0"/>
          <w:sz w:val="22"/>
        </w:rPr>
        <w:t>How the system behaves</w:t>
      </w:r>
    </w:p>
    <w:p>
      <w:pPr>
        <w:pStyle w:val="ListNumber"/>
        <w:spacing w:after="60"/>
        <w:ind w:left="425"/>
      </w:pPr>
      <w:r>
        <w:rPr>
          <w:rFonts w:ascii="Calibri" w:hAnsi="Calibri" w:eastAsia="Calibri"/>
          <w:b/>
          <w:i w:val="0"/>
          <w:sz w:val="22"/>
        </w:rPr>
        <w:t>Night, no person.</w:t>
      </w:r>
      <w:r>
        <w:rPr>
          <w:rFonts w:ascii="Calibri" w:hAnsi="Calibri" w:eastAsia="Calibri"/>
          <w:b w:val="0"/>
          <w:i w:val="0"/>
          <w:sz w:val="22"/>
        </w:rPr>
        <w:t xml:space="preserve"> Ambient lux confirms dark; mmWave presence is clear. LED off. Blade closed toward the bush.</w:t>
      </w:r>
    </w:p>
    <w:p>
      <w:pPr>
        <w:pStyle w:val="ListNumber"/>
        <w:spacing w:after="60"/>
        <w:ind w:left="425"/>
      </w:pPr>
      <w:r>
        <w:rPr>
          <w:rFonts w:ascii="Calibri" w:hAnsi="Calibri" w:eastAsia="Calibri"/>
          <w:b/>
          <w:i w:val="0"/>
          <w:sz w:val="22"/>
        </w:rPr>
        <w:t>Person approaching (~5 m).</w:t>
      </w:r>
      <w:r>
        <w:rPr>
          <w:rFonts w:ascii="Calibri" w:hAnsi="Calibri" w:eastAsia="Calibri"/>
          <w:b w:val="0"/>
          <w:i w:val="0"/>
          <w:sz w:val="22"/>
        </w:rPr>
        <w:t xml:space="preserve"> LED fades up over ~1.5 s to a low 2200 K / PC-amber output on the path only. A measured path-illuminance floor is held so a pedestrian can still see the ground.</w:t>
      </w:r>
    </w:p>
    <w:p>
      <w:pPr>
        <w:pStyle w:val="ListNumber"/>
        <w:spacing w:after="60"/>
        <w:ind w:left="425"/>
      </w:pPr>
      <w:r>
        <w:rPr>
          <w:rFonts w:ascii="Calibri" w:hAnsi="Calibri" w:eastAsia="Calibri"/>
          <w:b/>
          <w:i w:val="0"/>
          <w:sz w:val="22"/>
        </w:rPr>
        <w:t>Bat-band activity while a person is present.</w:t>
      </w:r>
      <w:r>
        <w:rPr>
          <w:rFonts w:ascii="Calibri" w:hAnsi="Calibri" w:eastAsia="Calibri"/>
          <w:b w:val="0"/>
          <w:i w:val="0"/>
          <w:sz w:val="22"/>
        </w:rPr>
        <w:t xml:space="preserve"> Dual-band energy (~10–15 kHz or ~25–35 kHz) exceeds threshold at a minimum pulse rate. The blade tightens onto the path; the LED may dim but never below the human-safety floor. Hold 20 s after the last detection.</w:t>
      </w:r>
    </w:p>
    <w:p>
      <w:pPr>
        <w:pStyle w:val="ListNumber"/>
        <w:spacing w:after="60"/>
        <w:ind w:left="425"/>
      </w:pPr>
      <w:r>
        <w:rPr>
          <w:rFonts w:ascii="Calibri" w:hAnsi="Calibri" w:eastAsia="Calibri"/>
          <w:b/>
          <w:i w:val="0"/>
          <w:sz w:val="22"/>
        </w:rPr>
        <w:t>Person leaves.</w:t>
      </w:r>
      <w:r>
        <w:rPr>
          <w:rFonts w:ascii="Calibri" w:hAnsi="Calibri" w:eastAsia="Calibri"/>
          <w:b w:val="0"/>
          <w:i w:val="0"/>
          <w:sz w:val="22"/>
        </w:rPr>
        <w:t xml:space="preserve"> LED fades off over ~5 s. Return to (1).</w:t>
      </w:r>
    </w:p>
    <w:p>
      <w:pPr>
        <w:pStyle w:val="ListNumber"/>
        <w:spacing w:after="60"/>
        <w:ind w:left="425"/>
      </w:pPr>
      <w:r>
        <w:rPr>
          <w:rFonts w:ascii="Calibri" w:hAnsi="Calibri" w:eastAsia="Calibri"/>
          <w:b/>
          <w:i w:val="0"/>
          <w:sz w:val="22"/>
        </w:rPr>
        <w:t>Dawn or existing spill.</w:t>
      </w:r>
      <w:r>
        <w:rPr>
          <w:rFonts w:ascii="Calibri" w:hAnsi="Calibri" w:eastAsia="Calibri"/>
          <w:b w:val="0"/>
          <w:i w:val="0"/>
          <w:sz w:val="22"/>
        </w:rPr>
        <w:t xml:space="preserve"> Ambient lux above threshold. LED stays disabled.</w:t>
      </w:r>
    </w:p>
    <w:p>
      <w:pPr>
        <w:pStyle w:val="ListNumber"/>
        <w:spacing w:after="60"/>
        <w:ind w:left="425"/>
      </w:pPr>
      <w:r>
        <w:rPr>
          <w:rFonts w:ascii="Calibri" w:hAnsi="Calibri" w:eastAsia="Calibri"/>
          <w:b/>
          <w:i w:val="0"/>
          <w:sz w:val="22"/>
        </w:rPr>
        <w:t>Maintenance.</w:t>
      </w:r>
      <w:r>
        <w:rPr>
          <w:rFonts w:ascii="Calibri" w:hAnsi="Calibri" w:eastAsia="Calibri"/>
          <w:b w:val="0"/>
          <w:i w:val="0"/>
          <w:sz w:val="22"/>
        </w:rPr>
        <w:t xml:space="preserve"> Low battery, sensor fault, or a long gap in bat-band activity: a slow-pulsing amber indicator on the </w:t>
      </w:r>
      <w:r>
        <w:rPr>
          <w:rFonts w:ascii="Calibri" w:hAnsi="Calibri" w:eastAsia="Calibri"/>
          <w:b w:val="0"/>
          <w:i/>
          <w:sz w:val="22"/>
        </w:rPr>
        <w:t>underside</w:t>
      </w:r>
      <w:r>
        <w:rPr>
          <w:rFonts w:ascii="Calibri" w:hAnsi="Calibri" w:eastAsia="Calibri"/>
          <w:b w:val="0"/>
          <w:i w:val="0"/>
          <w:sz w:val="22"/>
        </w:rPr>
        <w:t xml:space="preserve"> of the fixture only.</w:t>
      </w:r>
    </w:p>
    <w:p>
      <w:pPr>
        <w:spacing w:after="160" w:before="0" w:line="259" w:lineRule="auto"/>
      </w:pPr>
      <w:r>
        <w:rPr>
          <w:rFonts w:ascii="Calibri" w:hAnsi="Calibri" w:eastAsia="Calibri"/>
          <w:b/>
          <w:i w:val="0"/>
          <w:sz w:val="22"/>
        </w:rPr>
        <w:t>Context recognition.</w:t>
      </w:r>
      <w:r>
        <w:rPr>
          <w:rFonts w:ascii="Calibri" w:hAnsi="Calibri" w:eastAsia="Calibri"/>
          <w:b w:val="0"/>
          <w:i w:val="0"/>
          <w:sz w:val="22"/>
        </w:rPr>
        <w:t xml:space="preserve"> Four on-device signals — ambient lux, human presence/range, bat-band sound, time-of-night (BoM sunrise/sunset, cached) — fused in a rule-based ESP-IDF state machine on an ESP32-S3. The analog frequency-division front-end must pass </w:t>
      </w:r>
      <w:r>
        <w:rPr>
          <w:rFonts w:ascii="Calibri" w:hAnsi="Calibri" w:eastAsia="Calibri"/>
          <w:b/>
          <w:i w:val="0"/>
          <w:sz w:val="22"/>
        </w:rPr>
        <w:t>two</w:t>
      </w:r>
      <w:r>
        <w:rPr>
          <w:rFonts w:ascii="Calibri" w:hAnsi="Calibri" w:eastAsia="Calibri"/>
          <w:b w:val="0"/>
          <w:i w:val="0"/>
          <w:sz w:val="22"/>
        </w:rPr>
        <w:t xml:space="preserve"> bands: ~10–15 kHz (</w:t>
      </w:r>
      <w:r>
        <w:rPr>
          <w:rFonts w:ascii="Calibri" w:hAnsi="Calibri" w:eastAsia="Calibri"/>
          <w:b w:val="0"/>
          <w:i/>
          <w:sz w:val="22"/>
        </w:rPr>
        <w:t>A. australis</w:t>
      </w:r>
      <w:r>
        <w:rPr>
          <w:rFonts w:ascii="Calibri" w:hAnsi="Calibri" w:eastAsia="Calibri"/>
          <w:b w:val="0"/>
          <w:i w:val="0"/>
          <w:sz w:val="22"/>
        </w:rPr>
        <w:t>) and ~25–35 kHz (</w:t>
      </w:r>
      <w:r>
        <w:rPr>
          <w:rFonts w:ascii="Calibri" w:hAnsi="Calibri" w:eastAsia="Calibri"/>
          <w:b w:val="0"/>
          <w:i/>
          <w:sz w:val="22"/>
        </w:rPr>
        <w:t>C. gouldii</w:t>
      </w:r>
      <w:r>
        <w:rPr>
          <w:rFonts w:ascii="Calibri" w:hAnsi="Calibri" w:eastAsia="Calibri"/>
          <w:b w:val="0"/>
          <w:i w:val="0"/>
          <w:sz w:val="22"/>
        </w:rPr>
        <w:t xml:space="preserve">). </w:t>
      </w:r>
      <w:r>
        <w:rPr>
          <w:rFonts w:ascii="Calibri" w:hAnsi="Calibri" w:eastAsia="Calibri"/>
          <w:b w:val="0"/>
          <w:i/>
          <w:sz w:val="22"/>
        </w:rPr>
        <w:t>Nyctophilus</w:t>
      </w:r>
      <w:r>
        <w:rPr>
          <w:rFonts w:ascii="Calibri" w:hAnsi="Calibri" w:eastAsia="Calibri"/>
          <w:b w:val="0"/>
          <w:i w:val="0"/>
          <w:sz w:val="22"/>
        </w:rPr>
        <w:t xml:space="preserve"> calls are faint steep FM; we do not claim live species-ID. TinyML is an upgrade, not the demo path. BLE, if used, is maintainer logs only.</w:t>
      </w:r>
    </w:p>
    <w:p>
      <w:pPr>
        <w:pStyle w:val="Heading2"/>
        <w:spacing w:before="200" w:after="120"/>
      </w:pPr>
      <w:r>
        <w:rPr>
          <w:rFonts w:ascii="Calibri" w:hAnsi="Calibri" w:eastAsia="Calibri"/>
          <w:b/>
          <w:i w:val="0"/>
          <w:color w:val="1A1A1A"/>
          <w:sz w:val="26"/>
        </w:rPr>
        <w:t>Hardware / software architecture</w:t>
      </w:r>
    </w:p>
    <w:p>
      <w:pPr>
        <w:spacing w:after="160" w:before="0" w:line="259" w:lineRule="auto"/>
      </w:pPr>
      <w:r>
        <w:rPr>
          <w:rFonts w:ascii="Calibri" w:hAnsi="Calibri" w:eastAsia="Calibri"/>
          <w:b w:val="0"/>
          <w:i w:val="0"/>
          <w:sz w:val="22"/>
        </w:rPr>
        <w:t>On-device only: world → sense → fuse → actuate. No screen.</w:t>
      </w:r>
    </w:p>
    <w:p>
      <w:pPr>
        <w:spacing w:after="160" w:before="0" w:line="259" w:lineRule="auto"/>
      </w:pPr>
      <w:r>
        <w:rPr>
          <w:rFonts w:ascii="Calibri" w:hAnsi="Calibri" w:eastAsia="Calibri"/>
          <w:b/>
          <w:i w:val="0"/>
          <w:sz w:val="22"/>
        </w:rPr>
        <w:t>Architecture map.</w:t>
      </w:r>
      <w:r>
        <w:rPr>
          <w:rFonts w:ascii="Calibri" w:hAnsi="Calibri" w:eastAsia="Calibri"/>
          <w:b w:val="0"/>
          <w:i w:val="0"/>
          <w:sz w:val="22"/>
        </w:rPr>
        <w:t xml:space="preserve"> Bush/bats, path/walker, and night lux feed three sensors (analog frequency-division mic, LD2410, BH1750/VEML7700) plus a cached sunset. An ESP32-S3 running ESP-IDF persists, fuses, and runs a six-state machine, then drives a 2200 K path LED, an MG90S 180° bush blade, and an underside amber maintainer LED. USB/18650 powers the bench build; recorded NSW playback is the Week 13 stimulus.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3999" cy="608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map.sv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608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259" w:lineRule="auto"/>
        <w:jc w:val="center"/>
      </w:pPr>
      <w:r>
        <w:rPr>
          <w:rFonts w:ascii="Calibri" w:hAnsi="Calibri" w:eastAsia="Calibri"/>
          <w:b w:val="0"/>
          <w:i/>
          <w:sz w:val="18"/>
        </w:rPr>
        <w:t>Figure 1. Hardware and software architecture map (world → sense → ESP32-S3 fusion → actuate). TinyML, FFT, BLE and solar are upgrades, not the Week 13 demo path.</w:t>
      </w:r>
    </w:p>
    <w:p>
      <w:pPr>
        <w:spacing w:after="80" w:before="0" w:line="259" w:lineRule="auto"/>
      </w:pPr>
      <w:r>
        <w:rPr>
          <w:rFonts w:ascii="Calibri" w:hAnsi="Calibri" w:eastAsia="Calibri"/>
          <w:b/>
          <w:i w:val="0"/>
          <w:sz w:val="22"/>
        </w:rPr>
        <w:t>Hardware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8E8E8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Layer</w:t>
            </w:r>
          </w:p>
        </w:tc>
        <w:tc>
          <w:tcPr>
            <w:tcW w:type="dxa" w:w="3213"/>
            <w:shd w:fill="E8E8E8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Parts</w:t>
            </w:r>
          </w:p>
        </w:tc>
        <w:tc>
          <w:tcPr>
            <w:tcW w:type="dxa" w:w="3213"/>
            <w:shd w:fill="E8E8E8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Bus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Enclosure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PETG bollard, downward hood, printed 180° blade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Power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USB bench, or 18650 + buck (solar = stretch)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5 V / 3.3 V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Compute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ESP32-S3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Sense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BH1750/VEML7700; LD2410; MEMS mic + analog FD (gates ~10–15 kHz and ~25–35 kHz)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I2C; UART; ADC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Actuate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MOSFET + 2200 K / PC-amber LED; MG90S blade; underside amber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LEDC PWM / GPIO</w:t>
            </w:r>
          </w:p>
        </w:tc>
      </w:tr>
      <w:tr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Demo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Playback source into the analog front-end</w:t>
            </w:r>
          </w:p>
        </w:tc>
        <w:tc>
          <w:tcPr>
            <w:tcW w:type="dxa" w:w="321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—</w:t>
            </w:r>
          </w:p>
        </w:tc>
      </w:tr>
    </w:tbl>
    <w:p>
      <w:pPr>
        <w:spacing w:after="120"/>
      </w:pPr>
    </w:p>
    <w:p>
      <w:pPr>
        <w:spacing w:after="160" w:before="0" w:line="259" w:lineRule="auto"/>
      </w:pPr>
      <w:r>
        <w:rPr>
          <w:rFonts w:ascii="Calibri" w:hAnsi="Calibri" w:eastAsia="Calibri"/>
          <w:b/>
          <w:i w:val="0"/>
          <w:sz w:val="22"/>
        </w:rPr>
        <w:t>Software stack (ESP-IDF / FreeRTOS).</w:t>
      </w:r>
      <w:r>
        <w:rPr>
          <w:rFonts w:ascii="Calibri" w:hAnsi="Calibri" w:eastAsia="Calibri"/>
          <w:b w:val="0"/>
          <w:i w:val="0"/>
          <w:sz w:val="22"/>
        </w:rPr>
        <w:t xml:space="preserve"> Drivers (I2C, UART, ADC, LEDC) → fusion (1 s presence persist, dual-band energy, pulse-rate, lux, sunset cache, illuminance floor) → six-state policy (</w:t>
      </w:r>
      <w:r>
        <w:rPr>
          <w:rFonts w:ascii="Calibri" w:hAnsi="Calibri" w:eastAsia="Calibri"/>
          <w:b w:val="0"/>
          <w:i/>
          <w:sz w:val="22"/>
        </w:rPr>
        <w:t>night_idle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 w:val="0"/>
          <w:i/>
          <w:sz w:val="22"/>
        </w:rPr>
        <w:t>human_path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 w:val="0"/>
          <w:i/>
          <w:sz w:val="22"/>
        </w:rPr>
        <w:t>bat_shield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 w:val="0"/>
          <w:i/>
          <w:sz w:val="22"/>
        </w:rPr>
        <w:t>person_leaving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 w:val="0"/>
          <w:i/>
          <w:sz w:val="22"/>
        </w:rPr>
        <w:t>dawn_inhibit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 w:val="0"/>
          <w:i/>
          <w:sz w:val="22"/>
        </w:rPr>
        <w:t>maintainer_fault</w:t>
      </w:r>
      <w:r>
        <w:rPr>
          <w:rFonts w:ascii="Calibri" w:hAnsi="Calibri" w:eastAsia="Calibri"/>
          <w:b w:val="0"/>
          <w:i w:val="0"/>
          <w:sz w:val="22"/>
        </w:rPr>
        <w:t>) → PWM/servo/GPIO. TinyML, ESP-DSP FFT, and BLE are upgrades after this path works. No phone UI.</w:t>
      </w:r>
    </w:p>
    <w:p>
      <w:pPr>
        <w:pStyle w:val="Heading2"/>
        <w:spacing w:before="200" w:after="120"/>
      </w:pPr>
      <w:r>
        <w:rPr>
          <w:rFonts w:ascii="Calibri" w:hAnsi="Calibri" w:eastAsia="Calibri"/>
          <w:b/>
          <w:i w:val="0"/>
          <w:color w:val="1A1A1A"/>
          <w:sz w:val="26"/>
        </w:rPr>
        <w:t>Parts required</w:t>
      </w:r>
    </w:p>
    <w:p>
      <w:pPr>
        <w:spacing w:after="160" w:before="0" w:line="259" w:lineRule="auto"/>
      </w:pPr>
      <w:r>
        <w:rPr>
          <w:rFonts w:ascii="Calibri" w:hAnsi="Calibri" w:eastAsia="Calibri"/>
          <w:b/>
          <w:i w:val="0"/>
          <w:sz w:val="22"/>
        </w:rPr>
        <w:t>Hardware.</w:t>
      </w:r>
      <w:r>
        <w:rPr>
          <w:rFonts w:ascii="Calibri" w:hAnsi="Calibri" w:eastAsia="Calibri"/>
          <w:b w:val="0"/>
          <w:i w:val="0"/>
          <w:sz w:val="22"/>
        </w:rPr>
        <w:t xml:space="preserve"> ESP32-S3; BH1750 or VEML7700; LD2410; MEMS ultrasonic mic plus analog frequency-division module into ADC (not a from-scratch 192 kHz design); 2200 K or PC-amber LED + MOSFET; MG90S + printed 180° blade; underside amber LED; 18650 + buck; USB bench power; playback source. Solar is stretch.</w:t>
      </w:r>
    </w:p>
    <w:p>
      <w:pPr>
        <w:spacing w:after="160" w:before="0" w:line="259" w:lineRule="auto"/>
      </w:pPr>
      <w:r>
        <w:rPr>
          <w:rFonts w:ascii="Calibri" w:hAnsi="Calibri" w:eastAsia="Calibri"/>
          <w:b/>
          <w:i w:val="0"/>
          <w:sz w:val="22"/>
        </w:rPr>
        <w:t>Software / APIs.</w:t>
      </w:r>
      <w:r>
        <w:rPr>
          <w:rFonts w:ascii="Calibri" w:hAnsi="Calibri" w:eastAsia="Calibri"/>
          <w:b w:val="0"/>
          <w:i w:val="0"/>
          <w:sz w:val="22"/>
        </w:rPr>
        <w:t xml:space="preserve"> ESP-IDF firmware for sensor fusion and actuation. Cached Bureau of Meteorology sunrise/sunset. Atlas of Living Australia / iNaturalist for the species list (design evidence, not runtime). Optional later: ESP-DSP FFT, TinyML, BLE log dump.</w:t>
      </w:r>
    </w:p>
    <w:p>
      <w:pPr>
        <w:spacing w:after="160" w:before="0" w:line="259" w:lineRule="auto"/>
      </w:pPr>
      <w:r>
        <w:rPr>
          <w:rFonts w:ascii="Calibri" w:hAnsi="Calibri" w:eastAsia="Calibri"/>
          <w:b/>
          <w:i w:val="0"/>
          <w:sz w:val="22"/>
        </w:rPr>
        <w:t>Enclosure.</w:t>
      </w:r>
      <w:r>
        <w:rPr>
          <w:rFonts w:ascii="Calibri" w:hAnsi="Calibri" w:eastAsia="Calibri"/>
          <w:b w:val="0"/>
          <w:i w:val="0"/>
          <w:sz w:val="22"/>
        </w:rPr>
        <w:t xml:space="preserve"> Fusion 360, FDM PETG bollard with downward hood, printed 180° blade. Form: a shrouded low-glare path light.</w:t>
      </w:r>
    </w:p>
    <w:p>
      <w:pPr>
        <w:pStyle w:val="Heading2"/>
        <w:spacing w:before="200" w:after="120"/>
      </w:pPr>
      <w:r>
        <w:rPr>
          <w:rFonts w:ascii="Calibri" w:hAnsi="Calibri" w:eastAsia="Calibri"/>
          <w:b/>
          <w:i w:val="0"/>
          <w:color w:val="1A1A1A"/>
          <w:sz w:val="26"/>
        </w:rPr>
        <w:t>Timeline</w:t>
      </w:r>
    </w:p>
    <w:p>
      <w:pPr>
        <w:spacing w:after="160" w:before="0" w:line="259" w:lineRule="auto"/>
      </w:pPr>
      <w:r>
        <w:rPr>
          <w:rFonts w:ascii="Calibri" w:hAnsi="Calibri" w:eastAsia="Calibri"/>
          <w:b w:val="0"/>
          <w:i w:val="0"/>
          <w:sz w:val="22"/>
        </w:rPr>
        <w:t xml:space="preserve">Proposed split (swap if needed): Xinlong — hardware, CAD, enclosure; Tianqi — firmware, docs. Shared: order parts, integrate, dusk trials, video, presentation. </w:t>
      </w:r>
      <w:r>
        <w:rPr>
          <w:rFonts w:ascii="Calibri" w:hAnsi="Calibri" w:eastAsia="Calibri"/>
          <w:b/>
          <w:i w:val="0"/>
          <w:sz w:val="22"/>
        </w:rPr>
        <w:t>W4</w:t>
      </w:r>
      <w:r>
        <w:rPr>
          <w:rFonts w:ascii="Calibri" w:hAnsi="Calibri" w:eastAsia="Calibri"/>
          <w:b w:val="0"/>
          <w:i w:val="0"/>
          <w:sz w:val="22"/>
        </w:rPr>
        <w:t xml:space="preserve"> submit and order. </w:t>
      </w:r>
      <w:r>
        <w:rPr>
          <w:rFonts w:ascii="Calibri" w:hAnsi="Calibri" w:eastAsia="Calibri"/>
          <w:b/>
          <w:i w:val="0"/>
          <w:sz w:val="22"/>
        </w:rPr>
        <w:t>W5–6</w:t>
      </w:r>
      <w:r>
        <w:rPr>
          <w:rFonts w:ascii="Calibri" w:hAnsi="Calibri" w:eastAsia="Calibri"/>
          <w:b w:val="0"/>
          <w:i w:val="0"/>
          <w:sz w:val="22"/>
        </w:rPr>
        <w:t xml:space="preserve"> lux + mmWave bring-up (Xinlong); analog bat front-end + thresholding (Tianqi). </w:t>
      </w:r>
      <w:r>
        <w:rPr>
          <w:rFonts w:ascii="Calibri" w:hAnsi="Calibri" w:eastAsia="Calibri"/>
          <w:b/>
          <w:i w:val="0"/>
          <w:sz w:val="22"/>
        </w:rPr>
        <w:t>W6–8</w:t>
      </w:r>
      <w:r>
        <w:rPr>
          <w:rFonts w:ascii="Calibri" w:hAnsi="Calibri" w:eastAsia="Calibri"/>
          <w:b w:val="0"/>
          <w:i w:val="0"/>
          <w:sz w:val="22"/>
        </w:rPr>
        <w:t xml:space="preserve"> LED + 180° blade and CAD v1 (Xinlong); fusion state machine (Tianqi). </w:t>
      </w:r>
      <w:r>
        <w:rPr>
          <w:rFonts w:ascii="Calibri" w:hAnsi="Calibri" w:eastAsia="Calibri"/>
          <w:b/>
          <w:i w:val="0"/>
          <w:sz w:val="22"/>
        </w:rPr>
        <w:t>W9</w:t>
      </w:r>
      <w:r>
        <w:rPr>
          <w:rFonts w:ascii="Calibri" w:hAnsi="Calibri" w:eastAsia="Calibri"/>
          <w:b w:val="0"/>
          <w:i w:val="0"/>
          <w:sz w:val="22"/>
        </w:rPr>
        <w:t xml:space="preserve"> mid-project check-in (after the mid-semester break). </w:t>
      </w:r>
      <w:r>
        <w:rPr>
          <w:rFonts w:ascii="Calibri" w:hAnsi="Calibri" w:eastAsia="Calibri"/>
          <w:b/>
          <w:i w:val="0"/>
          <w:sz w:val="22"/>
        </w:rPr>
        <w:t>W10–11</w:t>
      </w:r>
      <w:r>
        <w:rPr>
          <w:rFonts w:ascii="Calibri" w:hAnsi="Calibri" w:eastAsia="Calibri"/>
          <w:b w:val="0"/>
          <w:i w:val="0"/>
          <w:sz w:val="22"/>
        </w:rPr>
        <w:t xml:space="preserve"> print, gasket, integrate, campus dusk trials with playback. </w:t>
      </w:r>
      <w:r>
        <w:rPr>
          <w:rFonts w:ascii="Calibri" w:hAnsi="Calibri" w:eastAsia="Calibri"/>
          <w:b/>
          <w:i w:val="0"/>
          <w:sz w:val="22"/>
        </w:rPr>
        <w:t>W11–12</w:t>
      </w:r>
      <w:r>
        <w:rPr>
          <w:rFonts w:ascii="Calibri" w:hAnsi="Calibri" w:eastAsia="Calibri"/>
          <w:b w:val="0"/>
          <w:i w:val="0"/>
          <w:sz w:val="22"/>
        </w:rPr>
        <w:t xml:space="preserve"> report and manual. </w:t>
      </w:r>
      <w:r>
        <w:rPr>
          <w:rFonts w:ascii="Calibri" w:hAnsi="Calibri" w:eastAsia="Calibri"/>
          <w:b/>
          <w:i w:val="0"/>
          <w:sz w:val="22"/>
        </w:rPr>
        <w:t>W12</w:t>
      </w:r>
      <w:r>
        <w:rPr>
          <w:rFonts w:ascii="Calibri" w:hAnsi="Calibri" w:eastAsia="Calibri"/>
          <w:b w:val="0"/>
          <w:i w:val="0"/>
          <w:sz w:val="22"/>
        </w:rPr>
        <w:t xml:space="preserve"> video. </w:t>
      </w:r>
      <w:r>
        <w:rPr>
          <w:rFonts w:ascii="Calibri" w:hAnsi="Calibri" w:eastAsia="Calibri"/>
          <w:b/>
          <w:i w:val="0"/>
          <w:sz w:val="22"/>
        </w:rPr>
        <w:t>W13</w:t>
      </w:r>
      <w:r>
        <w:rPr>
          <w:rFonts w:ascii="Calibri" w:hAnsi="Calibri" w:eastAsia="Calibri"/>
          <w:b w:val="0"/>
          <w:i w:val="0"/>
          <w:sz w:val="22"/>
        </w:rPr>
        <w:t xml:space="preserve"> presentation.</w:t>
      </w:r>
    </w:p>
    <w:p>
      <w:pPr>
        <w:pStyle w:val="Heading2"/>
        <w:spacing w:before="200" w:after="120"/>
      </w:pPr>
      <w:r>
        <w:rPr>
          <w:rFonts w:ascii="Calibri" w:hAnsi="Calibri" w:eastAsia="Calibri"/>
          <w:b/>
          <w:i w:val="0"/>
          <w:color w:val="1A1A1A"/>
          <w:sz w:val="26"/>
        </w:rPr>
        <w:t>Potential risks</w:t>
      </w:r>
    </w:p>
    <w:p>
      <w:pPr>
        <w:spacing w:after="160" w:before="0" w:line="259" w:lineRule="auto"/>
      </w:pPr>
      <w:r>
        <w:rPr>
          <w:rFonts w:ascii="Calibri" w:hAnsi="Calibri" w:eastAsia="Calibri"/>
          <w:b/>
          <w:i w:val="0"/>
          <w:sz w:val="22"/>
        </w:rPr>
        <w:t>Ultrasound.</w:t>
      </w:r>
      <w:r>
        <w:rPr>
          <w:rFonts w:ascii="Calibri" w:hAnsi="Calibri" w:eastAsia="Calibri"/>
          <w:b w:val="0"/>
          <w:i w:val="0"/>
          <w:sz w:val="22"/>
        </w:rPr>
        <w:t xml:space="preserve"> Wind, insects, and servo noise can look like calls. Mitigation: dual-band gates (~10–15 and ~25–35 kHz) + pulse-rate; false positives only add shielding; servo does not move in a detection window; the demo uses recorded NSW playback. We do </w:t>
      </w:r>
      <w:r>
        <w:rPr>
          <w:rFonts w:ascii="Calibri" w:hAnsi="Calibri" w:eastAsia="Calibri"/>
          <w:b/>
          <w:i w:val="0"/>
          <w:sz w:val="22"/>
        </w:rPr>
        <w:t>not</w:t>
      </w:r>
      <w:r>
        <w:rPr>
          <w:rFonts w:ascii="Calibri" w:hAnsi="Calibri" w:eastAsia="Calibri"/>
          <w:b w:val="0"/>
          <w:i w:val="0"/>
          <w:sz w:val="22"/>
        </w:rPr>
        <w:t xml:space="preserve"> depend on 192 kHz I2S FFT — analog frequency-division into the ADC is the path that must work. We do not claim to detect live </w:t>
      </w:r>
      <w:r>
        <w:rPr>
          <w:rFonts w:ascii="Calibri" w:hAnsi="Calibri" w:eastAsia="Calibri"/>
          <w:b w:val="0"/>
          <w:i/>
          <w:sz w:val="22"/>
        </w:rPr>
        <w:t>Nyctophilus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spacing w:after="160" w:before="0" w:line="259" w:lineRule="auto"/>
      </w:pPr>
      <w:r>
        <w:rPr>
          <w:rFonts w:ascii="Calibri" w:hAnsi="Calibri" w:eastAsia="Calibri"/>
          <w:b/>
          <w:i w:val="0"/>
          <w:sz w:val="22"/>
        </w:rPr>
        <w:t>Presence vs safety.</w:t>
      </w:r>
      <w:r>
        <w:rPr>
          <w:rFonts w:ascii="Calibri" w:hAnsi="Calibri" w:eastAsia="Calibri"/>
          <w:b w:val="0"/>
          <w:i w:val="0"/>
          <w:sz w:val="22"/>
        </w:rPr>
        <w:t xml:space="preserve"> mmWave may trigger on dogs, possums, or vegetation (~1 s persistence + range gate). Shielding/dimming must not make the path unwalkable (hard illuminance floor). Briefly lighting a non-human body is preferable to leaving a person unlit.</w:t>
      </w:r>
    </w:p>
    <w:p>
      <w:pPr>
        <w:spacing w:after="160" w:before="0" w:line="259" w:lineRule="auto"/>
      </w:pPr>
      <w:r>
        <w:rPr>
          <w:rFonts w:ascii="Calibri" w:hAnsi="Calibri" w:eastAsia="Calibri"/>
          <w:b/>
          <w:i w:val="0"/>
          <w:sz w:val="22"/>
        </w:rPr>
        <w:t>Scope and access.</w:t>
      </w:r>
      <w:r>
        <w:rPr>
          <w:rFonts w:ascii="Calibri" w:hAnsi="Calibri" w:eastAsia="Calibri"/>
          <w:b w:val="0"/>
          <w:i w:val="0"/>
          <w:sz w:val="22"/>
        </w:rPr>
        <w:t xml:space="preserve"> Two people still owe a fabricated enclosure, working features, report, and video. Night park access needs permission. Mitigation: order parts in W4; campus dusk trials first; gasketed PETG bollard; document outdoor v2 (solar, IP rating) in the report rather than calling weatherproofing “out of scope.”</w:t>
      </w:r>
    </w:p>
    <w:p>
      <w:pPr>
        <w:spacing w:after="160" w:before="0" w:line="259" w:lineRule="auto"/>
      </w:pPr>
      <w:r>
        <w:rPr>
          <w:rFonts w:ascii="Calibri" w:hAnsi="Calibri" w:eastAsia="Calibri"/>
          <w:b/>
          <w:i w:val="0"/>
          <w:sz w:val="22"/>
        </w:rPr>
        <w:t>Theory.</w:t>
      </w:r>
      <w:r>
        <w:rPr>
          <w:rFonts w:ascii="Calibri" w:hAnsi="Calibri" w:eastAsia="Calibri"/>
          <w:b w:val="0"/>
          <w:i w:val="0"/>
          <w:sz w:val="22"/>
        </w:rPr>
        <w:t xml:space="preserve"> Every actuation (spectrum, blade, duration, default-off) will be justified against a named non-human need (ACI / multispecies design). We will not claim a one-semester population increase.</w:t>
      </w:r>
    </w:p>
    <w:p>
      <w:pPr>
        <w:pStyle w:val="Heading2"/>
        <w:spacing w:before="200" w:after="120"/>
      </w:pPr>
      <w:r>
        <w:rPr>
          <w:rFonts w:ascii="Calibri" w:hAnsi="Calibri" w:eastAsia="Calibri"/>
          <w:b/>
          <w:i w:val="0"/>
          <w:color w:val="1A1A1A"/>
          <w:sz w:val="26"/>
        </w:rPr>
        <w:t>Appendix</w:t>
      </w:r>
    </w:p>
    <w:p>
      <w:pPr>
        <w:spacing w:after="80" w:before="0" w:line="259" w:lineRule="auto"/>
      </w:pPr>
      <w:r>
        <w:rPr>
          <w:rFonts w:ascii="Calibri" w:hAnsi="Calibri" w:eastAsia="Calibri"/>
          <w:b w:val="0"/>
          <w:i w:val="0"/>
          <w:sz w:val="22"/>
        </w:rPr>
        <w:t>Still to attach (hand drawings):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2"/>
        </w:rPr>
        <w:t>Bollard sketch: downward path beam vs bush side blocked by the 180° blade.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2"/>
        </w:rPr>
        <w:t>State-machine diagram of the six behaviours (Figure 1 covers the hardware/software map).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2"/>
        </w:rPr>
        <w:t>Spectral note: 4000 K white vs 2200 K / PC-amber (DCCEEW; Robert et al. 2025, amber λP 601 nm).</w:t>
      </w:r>
    </w:p>
    <w:p>
      <w:pPr>
        <w:pStyle w:val="Heading2"/>
        <w:spacing w:before="200" w:after="120"/>
      </w:pPr>
      <w:r>
        <w:rPr>
          <w:rFonts w:ascii="Calibri" w:hAnsi="Calibri" w:eastAsia="Calibri"/>
          <w:b/>
          <w:i w:val="0"/>
          <w:color w:val="1A1A1A"/>
          <w:sz w:val="26"/>
        </w:rPr>
        <w:t>Selected references</w:t>
      </w:r>
    </w:p>
    <w:p>
      <w:pPr>
        <w:spacing w:after="60"/>
        <w:ind w:left="425" w:hanging="425"/>
      </w:pPr>
      <w:r>
        <w:rPr>
          <w:rFonts w:ascii="Calibri" w:hAnsi="Calibri" w:eastAsia="Calibri"/>
          <w:b w:val="0"/>
          <w:i w:val="0"/>
          <w:sz w:val="20"/>
        </w:rPr>
        <w:t xml:space="preserve">Threlfall, C.G., Law, B. &amp; Banks, P.B. (2013). The urban matrix and artificial light restricts the nightly ranging behaviour of Gould’s long-eared bat. </w:t>
      </w:r>
      <w:r>
        <w:rPr>
          <w:rFonts w:ascii="Calibri" w:hAnsi="Calibri" w:eastAsia="Calibri"/>
          <w:b w:val="0"/>
          <w:i/>
          <w:sz w:val="20"/>
        </w:rPr>
        <w:t>Austral Ecology</w:t>
      </w:r>
      <w:r>
        <w:rPr>
          <w:rFonts w:ascii="Calibri" w:hAnsi="Calibri" w:eastAsia="Calibri"/>
          <w:b w:val="0"/>
          <w:i w:val="0"/>
          <w:sz w:val="20"/>
        </w:rPr>
        <w:t>, 38(8), 921–930.</w:t>
      </w:r>
    </w:p>
    <w:p>
      <w:pPr>
        <w:spacing w:after="60"/>
        <w:ind w:left="425" w:hanging="425"/>
      </w:pPr>
      <w:r>
        <w:rPr>
          <w:rFonts w:ascii="Calibri" w:hAnsi="Calibri" w:eastAsia="Calibri"/>
          <w:b w:val="0"/>
          <w:i w:val="0"/>
          <w:sz w:val="20"/>
        </w:rPr>
        <w:t xml:space="preserve">Haddock, J.K., Threlfall, C.G., Law, B. &amp; Hochuli, D.F. (2019a). Light pollution at the urban forest edge negatively impacts insectivorous bats. </w:t>
      </w:r>
      <w:r>
        <w:rPr>
          <w:rFonts w:ascii="Calibri" w:hAnsi="Calibri" w:eastAsia="Calibri"/>
          <w:b w:val="0"/>
          <w:i/>
          <w:sz w:val="20"/>
        </w:rPr>
        <w:t>Biological Conservation</w:t>
      </w:r>
      <w:r>
        <w:rPr>
          <w:rFonts w:ascii="Calibri" w:hAnsi="Calibri" w:eastAsia="Calibri"/>
          <w:b w:val="0"/>
          <w:i w:val="0"/>
          <w:sz w:val="20"/>
        </w:rPr>
        <w:t>, 236, 17–28.</w:t>
      </w:r>
    </w:p>
    <w:p>
      <w:pPr>
        <w:spacing w:after="60"/>
        <w:ind w:left="425" w:hanging="425"/>
      </w:pPr>
      <w:r>
        <w:rPr>
          <w:rFonts w:ascii="Calibri" w:hAnsi="Calibri" w:eastAsia="Calibri"/>
          <w:b w:val="0"/>
          <w:i w:val="0"/>
          <w:sz w:val="20"/>
        </w:rPr>
        <w:t xml:space="preserve">Haddock, J.K., Threlfall, C.G., Law, B. &amp; Hochuli, D.F. (2019b). Responses of insectivorous bats and nocturnal insects to local changes in street light technology. </w:t>
      </w:r>
      <w:r>
        <w:rPr>
          <w:rFonts w:ascii="Calibri" w:hAnsi="Calibri" w:eastAsia="Calibri"/>
          <w:b w:val="0"/>
          <w:i/>
          <w:sz w:val="20"/>
        </w:rPr>
        <w:t>Austral Ecology</w:t>
      </w:r>
      <w:r>
        <w:rPr>
          <w:rFonts w:ascii="Calibri" w:hAnsi="Calibri" w:eastAsia="Calibri"/>
          <w:b w:val="0"/>
          <w:i w:val="0"/>
          <w:sz w:val="20"/>
        </w:rPr>
        <w:t>.</w:t>
      </w:r>
    </w:p>
    <w:p>
      <w:pPr>
        <w:spacing w:after="60"/>
        <w:ind w:left="425" w:hanging="425"/>
      </w:pPr>
      <w:r>
        <w:rPr>
          <w:rFonts w:ascii="Calibri" w:hAnsi="Calibri" w:eastAsia="Calibri"/>
          <w:b w:val="0"/>
          <w:i w:val="0"/>
          <w:sz w:val="20"/>
        </w:rPr>
        <w:t xml:space="preserve">Robert, K.A. et al. (2025). Divergent responses of insectivorous bats and flying insects to experimental LED illumination of different spectra. </w:t>
      </w:r>
      <w:r>
        <w:rPr>
          <w:rFonts w:ascii="Calibri" w:hAnsi="Calibri" w:eastAsia="Calibri"/>
          <w:b w:val="0"/>
          <w:i/>
          <w:sz w:val="20"/>
        </w:rPr>
        <w:t>Ecosphere</w:t>
      </w:r>
      <w:r>
        <w:rPr>
          <w:rFonts w:ascii="Calibri" w:hAnsi="Calibri" w:eastAsia="Calibri"/>
          <w:b w:val="0"/>
          <w:i w:val="0"/>
          <w:sz w:val="20"/>
        </w:rPr>
        <w:t>, 16(5), e70291.</w:t>
      </w:r>
    </w:p>
    <w:p>
      <w:pPr>
        <w:spacing w:after="60"/>
        <w:ind w:left="425" w:hanging="425"/>
      </w:pPr>
      <w:r>
        <w:rPr>
          <w:rFonts w:ascii="Calibri" w:hAnsi="Calibri" w:eastAsia="Calibri"/>
          <w:b w:val="0"/>
          <w:i w:val="0"/>
          <w:sz w:val="20"/>
        </w:rPr>
        <w:t xml:space="preserve">Dimovski, A.M., Robert, K.A. &amp; Griffiths, S.R. (2023). A light-exploiting insectivorous bat shows no melatonin disruption under lights with different spectra. </w:t>
      </w:r>
      <w:r>
        <w:rPr>
          <w:rFonts w:ascii="Calibri" w:hAnsi="Calibri" w:eastAsia="Calibri"/>
          <w:b w:val="0"/>
          <w:i/>
          <w:sz w:val="20"/>
        </w:rPr>
        <w:t>Royal Society Open Science</w:t>
      </w:r>
      <w:r>
        <w:rPr>
          <w:rFonts w:ascii="Calibri" w:hAnsi="Calibri" w:eastAsia="Calibri"/>
          <w:b w:val="0"/>
          <w:i w:val="0"/>
          <w:sz w:val="20"/>
        </w:rPr>
        <w:t>, 10, 221436.</w:t>
      </w:r>
    </w:p>
    <w:p>
      <w:pPr>
        <w:spacing w:after="60"/>
        <w:ind w:left="425" w:hanging="425"/>
      </w:pPr>
      <w:r>
        <w:rPr>
          <w:rFonts w:ascii="Calibri" w:hAnsi="Calibri" w:eastAsia="Calibri"/>
          <w:b w:val="0"/>
          <w:i w:val="0"/>
          <w:sz w:val="20"/>
        </w:rPr>
        <w:t xml:space="preserve">DCCEEW (2023). </w:t>
      </w:r>
      <w:r>
        <w:rPr>
          <w:rFonts w:ascii="Calibri" w:hAnsi="Calibri" w:eastAsia="Calibri"/>
          <w:b w:val="0"/>
          <w:i/>
          <w:sz w:val="20"/>
        </w:rPr>
        <w:t>National Light Pollution Guidelines for Wildlife.</w:t>
      </w:r>
    </w:p>
    <w:p>
      <w:pPr>
        <w:spacing w:after="60"/>
        <w:ind w:left="425" w:hanging="425"/>
      </w:pPr>
      <w:r>
        <w:rPr>
          <w:rFonts w:ascii="Calibri" w:hAnsi="Calibri" w:eastAsia="Calibri"/>
          <w:b w:val="0"/>
          <w:i w:val="0"/>
          <w:sz w:val="20"/>
        </w:rPr>
        <w:t xml:space="preserve">Kyba, C.C.M. et al. (2023). Citizen scientists report global rapid reductions in the visibility of stars from 2011 to 2022. </w:t>
      </w:r>
      <w:r>
        <w:rPr>
          <w:rFonts w:ascii="Calibri" w:hAnsi="Calibri" w:eastAsia="Calibri"/>
          <w:b w:val="0"/>
          <w:i/>
          <w:sz w:val="20"/>
        </w:rPr>
        <w:t>Science</w:t>
      </w:r>
      <w:r>
        <w:rPr>
          <w:rFonts w:ascii="Calibri" w:hAnsi="Calibri" w:eastAsia="Calibri"/>
          <w:b w:val="0"/>
          <w:i w:val="0"/>
          <w:sz w:val="20"/>
        </w:rPr>
        <w:t>, 379, 265–268.</w:t>
      </w:r>
    </w:p>
    <w:p>
      <w:pPr>
        <w:spacing w:after="60"/>
        <w:ind w:left="425" w:hanging="425"/>
      </w:pPr>
      <w:r>
        <w:rPr>
          <w:rFonts w:ascii="Calibri" w:hAnsi="Calibri" w:eastAsia="Calibri"/>
          <w:b w:val="0"/>
          <w:i w:val="0"/>
          <w:sz w:val="20"/>
        </w:rPr>
        <w:t xml:space="preserve">Owens, A.C.S. &amp; Lewis, S.M. (2018). The impact of artificial light at night on nocturnal insects. </w:t>
      </w:r>
      <w:r>
        <w:rPr>
          <w:rFonts w:ascii="Calibri" w:hAnsi="Calibri" w:eastAsia="Calibri"/>
          <w:b w:val="0"/>
          <w:i/>
          <w:sz w:val="20"/>
        </w:rPr>
        <w:t>Ecology and Evolution</w:t>
      </w:r>
      <w:r>
        <w:rPr>
          <w:rFonts w:ascii="Calibri" w:hAnsi="Calibri" w:eastAsia="Calibri"/>
          <w:b w:val="0"/>
          <w:i w:val="0"/>
          <w:sz w:val="20"/>
        </w:rPr>
        <w:t>, 8, 11337–11358.</w:t>
      </w:r>
    </w:p>
    <w:p>
      <w:pPr>
        <w:spacing w:after="60"/>
        <w:ind w:left="425" w:hanging="425"/>
      </w:pPr>
      <w:r>
        <w:rPr>
          <w:rFonts w:ascii="Calibri" w:hAnsi="Calibri" w:eastAsia="Calibri"/>
          <w:b w:val="0"/>
          <w:i w:val="0"/>
          <w:sz w:val="20"/>
        </w:rPr>
        <w:t xml:space="preserve">Voigt, C.C. et al. (2018). </w:t>
      </w:r>
      <w:r>
        <w:rPr>
          <w:rFonts w:ascii="Calibri" w:hAnsi="Calibri" w:eastAsia="Calibri"/>
          <w:b w:val="0"/>
          <w:i/>
          <w:sz w:val="20"/>
        </w:rPr>
        <w:t>Guidelines for consideration of bats in lighting projects.</w:t>
      </w:r>
      <w:r>
        <w:rPr>
          <w:rFonts w:ascii="Calibri" w:hAnsi="Calibri" w:eastAsia="Calibri"/>
          <w:b w:val="0"/>
          <w:i w:val="0"/>
          <w:sz w:val="20"/>
        </w:rPr>
        <w:t xml:space="preserve"> EUROBATS Publication Series No. 8.</w:t>
      </w:r>
    </w:p>
    <w:p>
      <w:pPr>
        <w:spacing w:after="60"/>
        <w:ind w:left="425" w:hanging="425"/>
      </w:pPr>
      <w:r>
        <w:rPr>
          <w:rFonts w:ascii="Calibri" w:hAnsi="Calibri" w:eastAsia="Calibri"/>
          <w:b w:val="0"/>
          <w:i w:val="0"/>
          <w:sz w:val="20"/>
        </w:rPr>
        <w:t xml:space="preserve">Mancini, C. (2016). Towards an animal-centred ethics for Animal–Computer Interaction. </w:t>
      </w:r>
      <w:r>
        <w:rPr>
          <w:rFonts w:ascii="Calibri" w:hAnsi="Calibri" w:eastAsia="Calibri"/>
          <w:b w:val="0"/>
          <w:i/>
          <w:sz w:val="20"/>
        </w:rPr>
        <w:t>International Journal of Human-Computer Studies</w:t>
      </w:r>
      <w:r>
        <w:rPr>
          <w:rFonts w:ascii="Calibri" w:hAnsi="Calibri" w:eastAsia="Calibri"/>
          <w:b w:val="0"/>
          <w:i w:val="0"/>
          <w:sz w:val="20"/>
        </w:rPr>
        <w:t>, 98, 221–233.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