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宋體-簡" w:hAnsi="宋體-簡" w:cs="宋體-簡"/>
          <w:b/>
          <w:bCs/>
          <w:color w:val="000000"/>
          <w:sz w:val="36"/>
          <w:szCs w:val="36"/>
          <w:u w:val="none"/>
        </w:rPr>
      </w:pPr>
      <w:r>
        <w:rPr>
          <w:rFonts w:ascii="宋體-簡" w:hAnsi="宋體-簡" w:eastAsia="宋體-簡" w:cs="宋體-簡"/>
          <w:b/>
          <w:color w:val="000000"/>
          <w:sz w:val="36"/>
          <w:szCs w:val="36"/>
          <w:u w:val="none"/>
        </w:rPr>
        <w:t xml:space="preserve">论中国民主的未来之《</w:t>
      </w:r>
      <w:r>
        <w:rPr>
          <w:rFonts w:ascii="宋體-簡" w:hAnsi="宋體-簡" w:eastAsia="宋體-簡" w:cs="宋體-簡"/>
          <w:b/>
          <w:color w:val="000000"/>
          <w:sz w:val="36"/>
          <w:szCs w:val="36"/>
          <w:u w:val="none"/>
        </w:rPr>
        <w:t xml:space="preserve">公民</w:t>
      </w:r>
      <w:r>
        <w:rPr>
          <w:rFonts w:ascii="宋體-簡" w:hAnsi="宋體-簡" w:eastAsia="宋體-簡" w:cs="宋體-簡"/>
          <w:b/>
          <w:color w:val="000000"/>
          <w:sz w:val="36"/>
          <w:szCs w:val="36"/>
          <w:u w:val="none"/>
        </w:rPr>
        <w:t xml:space="preserve">宪法》详解</w:t>
      </w:r>
      <w:r>
        <w:rPr>
          <w:rFonts w:ascii="宋體-簡" w:hAnsi="宋體-簡" w:eastAsia="宋體-簡" w:cs="宋體-簡"/>
          <w:b/>
          <w:color w:val="000000"/>
          <w:sz w:val="36"/>
          <w:szCs w:val="36"/>
          <w:u w:val="none"/>
        </w:rPr>
        <w:t xml:space="preserve">  第</w:t>
      </w:r>
      <w:r>
        <w:rPr>
          <w:rFonts w:ascii="宋體-簡" w:hAnsi="宋體-簡" w:eastAsia="宋體-簡" w:cs="宋體-簡"/>
          <w:b/>
          <w:color w:val="000000"/>
          <w:sz w:val="36"/>
          <w:szCs w:val="36"/>
          <w:u w:val="none"/>
          <w:lang w:val="zh-Hans"/>
        </w:rPr>
        <w:t xml:space="preserve">10</w:t>
      </w:r>
      <w:r>
        <w:rPr>
          <w:rFonts w:ascii="宋體-簡" w:hAnsi="宋體-簡" w:eastAsia="宋體-簡" w:cs="宋體-簡"/>
          <w:b/>
          <w:color w:val="000000"/>
          <w:sz w:val="36"/>
          <w:szCs w:val="36"/>
          <w:u w:val="none"/>
        </w:rPr>
        <w:t xml:space="preserve">篇</w:t>
      </w:r>
      <w:r>
        <w:rPr>
          <w:rFonts w:ascii="宋體-簡" w:hAnsi="宋體-簡" w:cs="宋體-簡"/>
          <w:b/>
          <w:bCs/>
          <w:color w:val="000000"/>
          <w:sz w:val="36"/>
          <w:szCs w:val="36"/>
          <w:u w:val="none"/>
        </w:rPr>
      </w:r>
      <w:r>
        <w:rPr>
          <w:rFonts w:ascii="宋體-簡" w:hAnsi="宋體-簡" w:cs="宋體-簡"/>
          <w:b/>
          <w:bCs/>
          <w:color w:val="000000"/>
          <w:sz w:val="36"/>
          <w:szCs w:val="36"/>
          <w:u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Songti SC" w:hAnsi="Songti SC" w:eastAsia="Songti SC" w:cs="Songti SC"/>
          <w:b/>
          <w:bCs/>
          <w:color w:val="000000"/>
          <w:sz w:val="36"/>
          <w:szCs w:val="36"/>
          <w:highlight w:val="none"/>
        </w:rPr>
      </w:pPr>
      <w:r>
        <w:rPr>
          <w:rFonts w:ascii="宋體-簡" w:hAnsi="宋體-簡" w:eastAsia="宋體-簡" w:cs="宋體-簡"/>
          <w:b/>
          <w:color w:val="000000"/>
          <w:sz w:val="36"/>
          <w:szCs w:val="36"/>
          <w:u w:val="none"/>
        </w:rPr>
        <w:t xml:space="preserve">宪法</w:t>
      </w:r>
      <w:r>
        <w:rPr>
          <w:rFonts w:ascii="宋體-簡" w:hAnsi="宋體-簡" w:eastAsia="宋體-簡" w:cs="宋體-簡"/>
          <w:b/>
          <w:color w:val="000000"/>
          <w:sz w:val="36"/>
          <w:szCs w:val="36"/>
          <w:u w:val="none"/>
        </w:rPr>
        <w:t xml:space="preserve">第</w:t>
      </w:r>
      <w:r>
        <w:rPr>
          <w:rFonts w:ascii="宋體-簡" w:hAnsi="宋體-簡" w:eastAsia="宋體-簡" w:cs="宋體-簡"/>
          <w:b/>
          <w:color w:val="000000"/>
          <w:sz w:val="36"/>
          <w:szCs w:val="36"/>
          <w:u w:val="none"/>
        </w:rPr>
        <w:t xml:space="preserve">九</w:t>
      </w:r>
      <w:r>
        <w:rPr>
          <w:rFonts w:ascii="宋體-簡" w:hAnsi="宋體-簡" w:eastAsia="宋體-簡" w:cs="宋體-簡"/>
          <w:b/>
          <w:color w:val="000000"/>
          <w:sz w:val="36"/>
          <w:szCs w:val="36"/>
          <w:u w:val="none"/>
        </w:rPr>
        <w:t xml:space="preserve">条：</w:t>
      </w:r>
      <w:r>
        <w:rPr>
          <w:rFonts w:ascii="Songti SC" w:hAnsi="Songti SC" w:eastAsia="Songti SC" w:cs="Songti SC"/>
          <w:b/>
          <w:color w:val="000000"/>
          <w:sz w:val="36"/>
          <w:szCs w:val="36"/>
        </w:rPr>
        <w:t xml:space="preserve">“</w:t>
      </w:r>
      <w:r>
        <w:rPr>
          <w:rFonts w:ascii="Songti SC" w:hAnsi="Songti SC" w:eastAsia="Songti SC" w:cs="Songti SC"/>
          <w:b/>
          <w:color w:val="000000"/>
          <w:sz w:val="36"/>
          <w:szCs w:val="36"/>
        </w:rPr>
        <w:t xml:space="preserve">三级</w:t>
      </w:r>
      <w:r>
        <w:rPr>
          <w:rFonts w:ascii="Songti SC" w:hAnsi="Songti SC" w:eastAsia="Songti SC" w:cs="Songti SC"/>
          <w:b/>
          <w:color w:val="000000"/>
          <w:sz w:val="36"/>
          <w:szCs w:val="36"/>
        </w:rPr>
        <w:t xml:space="preserve">政府</w:t>
      </w:r>
      <w:r>
        <w:rPr>
          <w:rFonts w:ascii="Songti SC" w:hAnsi="Songti SC" w:eastAsia="Songti SC" w:cs="Songti SC"/>
          <w:b/>
          <w:color w:val="000000"/>
          <w:sz w:val="36"/>
          <w:szCs w:val="36"/>
        </w:rPr>
        <w:t xml:space="preserve">”的</w:t>
      </w:r>
      <w:r>
        <w:rPr>
          <w:rFonts w:ascii="Songti SC" w:hAnsi="Songti SC" w:eastAsia="Songti SC" w:cs="Songti SC"/>
          <w:b/>
          <w:color w:val="000000"/>
          <w:sz w:val="36"/>
          <w:szCs w:val="36"/>
        </w:rPr>
        <w:t xml:space="preserve">权力分配</w:t>
      </w:r>
      <w:r>
        <w:rPr>
          <w:rFonts w:ascii="宋體-簡" w:hAnsi="宋體-簡" w:cs="宋體-簡"/>
          <w:b/>
          <w:bCs/>
          <w:color w:val="000000"/>
          <w:sz w:val="36"/>
          <w:szCs w:val="36"/>
          <w:highlight w:val="none"/>
          <w:u w:val="none"/>
        </w:rPr>
      </w:r>
      <w:r>
        <w:rPr>
          <w:rFonts w:ascii="Songti SC" w:hAnsi="Songti SC" w:eastAsia="Songti SC" w:cs="Songti SC"/>
          <w:b/>
          <w:bCs/>
          <w:color w:val="000000"/>
          <w:sz w:val="36"/>
          <w:szCs w:val="36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>
          <w:rFonts w:ascii="Songti SC" w:hAnsi="Songti SC" w:eastAsia="Songti SC" w:cs="Songti SC"/>
          <w:b/>
          <w:bCs/>
          <w:color w:val="000000"/>
          <w:sz w:val="36"/>
          <w:szCs w:val="36"/>
          <w:highlight w:val="none"/>
        </w:rPr>
      </w:pPr>
      <w:r>
        <w:rPr>
          <w:rFonts w:ascii="Songti SC" w:hAnsi="Songti SC" w:eastAsia="Songti SC" w:cs="Songti SC"/>
          <w:b/>
          <w:color w:val="000000"/>
          <w:sz w:val="36"/>
          <w:szCs w:val="36"/>
          <w:highlight w:val="none"/>
        </w:rPr>
      </w:r>
      <w:r>
        <w:rPr>
          <w:rFonts w:ascii="宋體-簡" w:hAnsi="宋體-簡" w:eastAsia="宋體-簡" w:cs="宋體-簡"/>
          <w:b/>
          <w:bCs/>
          <w:color w:val="000000"/>
          <w:sz w:val="24"/>
          <w:szCs w:val="24"/>
          <w:highlight w:val="none"/>
          <w:u w:val="none"/>
        </w:rPr>
        <w:t xml:space="preserve">作者：</w:t>
      </w:r>
      <w:r>
        <w:rPr>
          <w:rFonts w:ascii="宋體-簡" w:hAnsi="宋體-簡" w:eastAsia="宋體-簡" w:cs="宋體-簡"/>
          <w:b/>
          <w:bCs/>
          <w:color w:val="000000"/>
          <w:sz w:val="24"/>
          <w:szCs w:val="24"/>
          <w:u w:val="none"/>
        </w:rPr>
        <w:t xml:space="preserve">程伟</w:t>
      </w:r>
      <w:r>
        <w:rPr>
          <w:rFonts w:ascii="宋體-簡" w:hAnsi="宋體-簡" w:cs="宋體-簡"/>
          <w:b/>
          <w:bCs/>
          <w:color w:val="000000"/>
          <w:sz w:val="36"/>
          <w:szCs w:val="36"/>
          <w:highlight w:val="none"/>
          <w:u w:val="none"/>
        </w:rPr>
      </w:r>
      <w:r>
        <w:rPr>
          <w:rFonts w:ascii="Songti SC" w:hAnsi="Songti SC" w:eastAsia="Songti SC" w:cs="Songti SC"/>
          <w:b/>
          <w:bCs/>
          <w:color w:val="000000"/>
          <w:sz w:val="36"/>
          <w:szCs w:val="36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摘要：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本条款确立了“联邦独掌主权权力、省级行政权来自总统府、市级行政权与征税权直接源于宪法”的三级权力架构，是整个国家治理结构中的主轴条款。其核心精神在于：将军事与外交权力集中于联邦，以保证国家统一与主权完整；将省级行政权设为“受授权体”，通过总统府统合全国行政体系；并给予市级行政区由宪法直接赋予的自治行政权与征税权，使其独立拥有地方治理的合法性基础。这套分权格局形成联邦主权统一、省级行政协调、市级自治稳固的三层治理结构，从而使国家治理具有高度的稳定性与可操作性。</w:t>
      </w:r>
      <w:r>
        <w:rPr>
          <w:rFonts w:ascii="宋體-簡" w:hAnsi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88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引言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  <w:r>
        <w:rPr>
          <w:rFonts w:ascii="宋體-簡" w:hAnsi="宋體-簡" w:cs="宋體-簡"/>
          <w:sz w:val="24"/>
          <w:szCs w:val="24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283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本条款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明确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了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国家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基础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权力的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构成</w:t>
      </w: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  <w:t xml:space="preserve">，</w:t>
      </w: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  <w:t xml:space="preserve">以及</w:t>
      </w: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  <w:t xml:space="preserve">“</w:t>
      </w: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  <w:t xml:space="preserve">四级</w:t>
      </w: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  <w:t xml:space="preserve">权力</w:t>
      </w: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  <w:t xml:space="preserve">结构”</w:t>
      </w: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  <w:t xml:space="preserve">的</w:t>
      </w: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  <w:t xml:space="preserve">构成</w:t>
      </w: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  <w:t xml:space="preserve">体系</w:t>
      </w: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  <w:t xml:space="preserve">，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定义了谁是国家最高行权机构、谁拥有主权性权力、谁具备自治性权力、谁必须从中央受权</w:t>
      </w: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  <w:t xml:space="preserve">、</w:t>
      </w: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  <w:t xml:space="preserve">谁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的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权力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由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宪法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赋予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。其制度意义远大于字面描述：它不仅说明“权力归属”，更说明“权力来源”，而权力来源决定合法性、权威性与可行性</w:t>
      </w: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  <w:t xml:space="preserve">，</w:t>
      </w:r>
      <w:r>
        <w:rPr>
          <w:rFonts w:ascii="宋體-簡" w:hAnsi="宋體-簡" w:cs="宋體-簡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  <w:r>
        <w:rPr>
          <w:rFonts w:ascii="宋體-簡" w:hAnsi="宋體-簡" w:cs="宋體-簡"/>
          <w:szCs w:val="24"/>
        </w:rPr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是整个国家治理体系的骨架。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88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一、</w:t>
      </w: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国家</w:t>
      </w: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联邦政府：国家主权权力的唯一中心</w:t>
      </w:r>
      <w:r>
        <w:rPr>
          <w:rFonts w:ascii="宋體-簡" w:hAnsi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  <w:r>
        <w:rPr>
          <w:rFonts w:ascii="宋體-簡" w:hAnsi="宋體-簡" w:cs="宋體-簡"/>
          <w:sz w:val="24"/>
          <w:szCs w:val="24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283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宪法直接规定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：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  <w:r>
        <w:rPr>
          <w:rFonts w:ascii="宋體-簡" w:hAnsi="宋體-簡" w:cs="宋體-簡"/>
          <w:szCs w:val="24"/>
        </w:rPr>
      </w:r>
      <w:r>
        <w:rPr>
          <w:rFonts w:ascii="宋體-簡" w:hAnsi="宋體-簡" w:eastAsia="宋體-簡" w:cs="宋體-簡"/>
          <w:b/>
          <w:color w:val="0e0e0e"/>
          <w:sz w:val="24"/>
          <w:szCs w:val="24"/>
        </w:rPr>
        <w:t xml:space="preserve">国家联邦政府，是国家行政权和征税权的最高行权机构，是军事权和外交权的唯一行权机构。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本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条文包含四重意义：</w:t>
      </w:r>
      <w:r>
        <w:rPr>
          <w:rFonts w:ascii="宋體-簡" w:hAnsi="宋體-簡" w:cs="宋體-簡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88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1. </w:t>
      </w: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国家</w:t>
      </w: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联邦政府是全国行政体系的“顶</w:t>
      </w:r>
      <w:r>
        <w:rPr>
          <w:rFonts w:ascii="宋體-簡" w:hAnsi="宋體-簡" w:eastAsia="宋體-簡" w:cs="宋體-簡"/>
          <w:b/>
          <w:bCs/>
          <w:color w:val="000000"/>
          <w:sz w:val="24"/>
          <w:szCs w:val="24"/>
        </w:rPr>
        <w:t xml:space="preserve">点”</w:t>
      </w:r>
      <w:r>
        <w:rPr>
          <w:rFonts w:ascii="宋體-簡" w:hAnsi="宋體-簡" w:eastAsia="宋體-簡" w:cs="宋體-簡"/>
          <w:b/>
          <w:bCs/>
          <w:color w:val="000000"/>
          <w:sz w:val="24"/>
          <w:szCs w:val="24"/>
          <w:lang w:val="zh-Hans"/>
        </w:rPr>
        <w:t xml:space="preserve">，</w:t>
      </w:r>
      <w:r>
        <w:rPr>
          <w:rFonts w:ascii="宋體-簡" w:hAnsi="宋體-簡" w:eastAsia="宋體-簡" w:cs="宋體-簡"/>
          <w:b/>
          <w:bCs/>
          <w:color w:val="000000"/>
          <w:sz w:val="24"/>
          <w:szCs w:val="24"/>
        </w:rPr>
        <w:t xml:space="preserve">意味着：</w:t>
      </w:r>
      <w:r>
        <w:rPr>
          <w:rFonts w:ascii="宋體-簡" w:hAnsi="宋體-簡" w:cs="宋體-簡"/>
          <w:b/>
          <w:bCs/>
          <w:szCs w:val="24"/>
        </w:rPr>
      </w:r>
      <w:r>
        <w:rPr>
          <w:rFonts w:ascii="宋體-簡" w:hAnsi="宋體-簡" w:cs="宋體-簡"/>
          <w:sz w:val="24"/>
          <w:szCs w:val="24"/>
        </w:rPr>
      </w:r>
    </w:p>
    <w:p>
      <w:pPr>
        <w:pStyle w:val="950"/>
        <w:numPr>
          <w:ilvl w:val="0"/>
          <w:numId w:val="14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17" w:lineRule="atLeast"/>
        <w:ind w:right="0" w:hanging="283" w:left="567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形成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了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全国</w:t>
      </w:r>
      <w:r>
        <w:rPr>
          <w:rFonts w:ascii="宋體-簡" w:hAnsi="宋體-簡" w:eastAsia="宋體-簡" w:cs="宋體-簡"/>
          <w:sz w:val="24"/>
          <w:szCs w:val="24"/>
        </w:rPr>
        <w:t xml:space="preserve">互联互通</w:t>
      </w:r>
      <w:r>
        <w:rPr>
          <w:rFonts w:ascii="宋體-簡" w:hAnsi="宋體-簡" w:eastAsia="宋體-簡" w:cs="宋體-簡"/>
          <w:sz w:val="24"/>
          <w:szCs w:val="24"/>
        </w:rPr>
        <w:t xml:space="preserve">的</w:t>
      </w:r>
      <w:r>
        <w:rPr>
          <w:rFonts w:ascii="宋體-簡" w:hAnsi="宋體-簡" w:eastAsia="宋體-簡" w:cs="宋體-簡"/>
          <w:sz w:val="24"/>
          <w:szCs w:val="24"/>
        </w:rPr>
        <w:t xml:space="preserve">行政体系</w:t>
      </w:r>
      <w:r>
        <w:rPr>
          <w:rFonts w:ascii="宋體-簡" w:hAnsi="宋體-簡" w:eastAsia="宋體-簡" w:cs="宋體-簡"/>
          <w:sz w:val="24"/>
          <w:szCs w:val="24"/>
          <w:lang w:val="zh-Hans"/>
        </w:rPr>
        <w:t xml:space="preserve">，</w:t>
      </w:r>
      <w:r>
        <w:rPr>
          <w:rFonts w:ascii="宋體-簡" w:hAnsi="宋體-簡" w:eastAsia="宋體-簡" w:cs="宋體-簡"/>
          <w:sz w:val="24"/>
          <w:szCs w:val="24"/>
          <w:lang w:val="zh-Hans"/>
        </w:rPr>
        <w:t xml:space="preserve">有效</w:t>
      </w:r>
      <w:r>
        <w:rPr>
          <w:rFonts w:ascii="宋體-簡" w:hAnsi="宋體-簡" w:eastAsia="宋體-簡" w:cs="宋體-簡"/>
          <w:sz w:val="24"/>
          <w:szCs w:val="24"/>
          <w:lang w:val="zh-Hans"/>
        </w:rPr>
        <w:t xml:space="preserve">避免</w:t>
      </w:r>
      <w:r>
        <w:rPr>
          <w:rFonts w:ascii="宋體-簡" w:hAnsi="宋體-簡" w:eastAsia="宋體-簡" w:cs="宋體-簡"/>
          <w:sz w:val="24"/>
          <w:szCs w:val="24"/>
          <w:lang w:val="zh-Hans"/>
        </w:rPr>
        <w:t xml:space="preserve">了</w:t>
      </w:r>
      <w:r>
        <w:rPr>
          <w:rFonts w:ascii="宋體-簡" w:hAnsi="宋體-簡" w:eastAsia="宋體-簡" w:cs="宋體-簡"/>
          <w:sz w:val="24"/>
          <w:szCs w:val="24"/>
          <w:lang w:val="zh-Hans"/>
        </w:rPr>
        <w:t xml:space="preserve">各自为政；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限制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省级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行政区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的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行政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权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来自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国家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联邦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政府</w:t>
      </w: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  <w:t xml:space="preserve">，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使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省级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行政区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与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联邦保持一致</w:t>
      </w:r>
      <w:r>
        <w:rPr>
          <w:rFonts w:ascii="宋體-簡" w:hAnsi="宋體-簡" w:eastAsia="宋體-簡" w:cs="宋體-簡"/>
          <w:sz w:val="24"/>
          <w:szCs w:val="24"/>
          <w:lang w:val="zh-Hans"/>
        </w:rPr>
        <w:t xml:space="preserve">；</w:t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eastAsia="宋體-簡" w:cs="宋體-簡"/>
          <w:color w:val="000000"/>
          <w:sz w:val="24"/>
          <w:szCs w:val="24"/>
          <w:lang w:val="zh-Hans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有效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避免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地方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做大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脱离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联邦</w:t>
      </w: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  <w:t xml:space="preserve">，</w:t>
      </w: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  <w:t xml:space="preserve">同时，</w:t>
      </w: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  <w:t xml:space="preserve">隔离</w:t>
      </w: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  <w:t xml:space="preserve">省级</w:t>
      </w: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  <w:t xml:space="preserve">行政区</w:t>
      </w: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  <w:t xml:space="preserve">与</w:t>
      </w: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  <w:t xml:space="preserve">市级</w:t>
      </w: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  <w:t xml:space="preserve">行政区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的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行政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权</w:t>
      </w: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  <w:t xml:space="preserve">，</w:t>
      </w: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  <w:t xml:space="preserve">能</w:t>
      </w: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  <w:t xml:space="preserve">保障</w:t>
      </w: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  <w:t xml:space="preserve">地方</w:t>
      </w: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  <w:t xml:space="preserve">的</w:t>
      </w: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  <w:t xml:space="preserve">自治</w:t>
      </w: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  <w:t xml:space="preserve">不受</w:t>
      </w: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  <w:t xml:space="preserve">联邦</w:t>
      </w: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  <w:t xml:space="preserve">制约</w:t>
      </w: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  <w:t xml:space="preserve">；</w:t>
      </w: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</w:r>
    </w:p>
    <w:p>
      <w:pPr>
        <w:pStyle w:val="95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eastAsia="宋體-簡" w:cs="宋體-簡"/>
          <w:color w:val="000000"/>
          <w:sz w:val="24"/>
          <w:szCs w:val="24"/>
          <w:lang w:val="zh-Hans"/>
        </w:rPr>
      </w:pP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全国行政体系具有统一的方向性</w:t>
      </w: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  <w:t xml:space="preserve">，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。</w:t>
      </w:r>
      <w:r>
        <w:rPr>
          <w:rFonts w:ascii="宋體-簡" w:hAnsi="宋體-簡" w:eastAsia="宋體-簡" w:cs="宋體-簡"/>
          <w:color w:val="000000"/>
          <w:sz w:val="24"/>
          <w:szCs w:val="24"/>
          <w:lang w:val="zh-Hans"/>
        </w:rPr>
      </w:r>
      <w:r/>
    </w:p>
    <w:p>
      <w:pPr>
        <w:pStyle w:val="88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2. 军事权与外交权的高度集中，是国家不可分割性的制度保障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宪法明确规定：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军事权不得分散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外交权不得分散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这是典型的现代联邦国家主权架构，与美国、德国、加拿大等联邦国家相对应。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原因很简单：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军事权分散等于国防体系碎裂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外交权分散等于主权不统一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主权不能有多个声音，否则国家不可治理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因此本条款的设计逻辑是：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国家必须在主权性权力上保持绝对统一。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88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3. 征税权提升为联邦的“主权性财政权”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宪法规定联邦政府不仅拥有征税权，而且是全国财政体系的最高权力机关。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意义包括：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联邦可以统筹全国财政预算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全国财政收入必须依法纳入联邦统一统计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各级政府的财政体系均须在联邦框架下运作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它让财政不再是行政附属，而是主权的一部分。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88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4. 权力来源来自宪法，而非授权、惯例或政治协议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条款明确写道：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/>
        <w:ind w:right="0" w:firstLine="0" w:left="225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e0e0e"/>
          <w:sz w:val="24"/>
          <w:szCs w:val="24"/>
        </w:rPr>
        <w:t xml:space="preserve">军事权、外交权、行政权和征税权由宪法赋予。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“宪法赋予”意味着：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联邦政府的权力不是总统授予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不是人民代表机构授予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不是历史形成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是宪法直接规定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这是最高级别的权威。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换言之，联邦政府是唯一的主权权力机关，而不是众多机关中的一个。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88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二、省级行政区：作为“中央派驻行政体系”的中层结构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条文规定：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/>
        <w:ind w:right="0" w:firstLine="0" w:left="225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e0e0e"/>
          <w:sz w:val="24"/>
          <w:szCs w:val="24"/>
        </w:rPr>
        <w:t xml:space="preserve">省级行政区没有军事权和外交权，省级行政区的行政权和征税权由总统府授予省政府。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这段文字的制度含义极为丰富。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88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1. 省级不具备主权属性，只具备行政协调属性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“没有军事权，没有外交权”意味着：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省政府不是主权单位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省政府不能对外实施主权行为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省无法形成独立政治主体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这一条彻底排除省级政府发展为“准中央”的可能性。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88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2. 省政府的行政权、财政权都不是“自治而得”，而是“总统府授予”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此处的“授予”形成最关键的制度逻辑：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省政府不是自治单位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省政府没有宪法直接赋权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省政府只能通过总统府获得行政权与征税权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因此，省政府是：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联邦行政体系中的“国家中层执行单位”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而非</w:t>
      </w: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地区自治政府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。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这与中国历史上“中央—省—县”的行政层级有继承关系，但又通过联邦制度进行了明确界定。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88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3. 省政府承担全国行政的“协调、统合、执行”角色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由于省政府权力来自总统府，其职能自然形成：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承接国家政策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作为行政体系的“枢纽”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对辖区内市、县进行行政协调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不得制定独立于联邦的政策框架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它不是地方利益代表，而是国家行政体系的延伸。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88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三、市级行政区：宪法直接赋权的基层自治政府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条款规定：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/>
        <w:ind w:right="0" w:firstLine="0" w:left="225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e0e0e"/>
          <w:sz w:val="24"/>
          <w:szCs w:val="24"/>
        </w:rPr>
        <w:t xml:space="preserve">市级行政区没有军事权和外交权，市级行政区的行政权和征税权由宪法赋予市政府。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这里的制度亮点尤为突出。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88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1. 市级行政权的合法性来自宪法，而不是省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这是全条结构中极具创新的一点：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省政府必须经总统府授权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市政府却由宪法直接授权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这意味着：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市是自治主体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市政府拥有自治权力的直接法律基础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市政府不从属于省政府的法律权源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换句话说：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省不是市的“上级政府”，只是行政体系的协调机构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。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88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2. 市政府拥有“地方公共事务的完整自治权”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因为市级行政权为宪法赋予：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市拥有独立治理城市的完全正当性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市的行政事务、税收体系、城市规划都是自治范畴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市政府对市民负责，而非对省政府负责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它使“地方自治”真正具有制度基础，而非形式存在。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88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3. 市拥有征税权，为地方自治提供财政基础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宪法直接赋予市政府征税权，意味着：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市可以依据宪法与法律设立地方税种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市拥有独立预算权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市级财政不依附省级财政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市可以自行筹措公共服务经费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而省级征税权是总统府授予，因此：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市财政自主性 &gt; 省财政自主性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这正是市级是“自治单位”、省级是“行政单位”的关键区分。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88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四、三级权力结构的总体逻辑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通过条款可清晰理解国家构造：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88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1. 联邦：掌握主权性权力（不可分裂）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 w:val="24"/>
          <w:szCs w:val="24"/>
        </w:rPr>
      </w:r>
    </w:p>
    <w:p>
      <w:pPr>
        <w:pStyle w:val="950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军事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外交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国家行政总权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国家财政总权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联邦是国家的唯一主权机关。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88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2. 省级：全国行政体系的中层执行结构（受授权体）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 w:val="24"/>
          <w:szCs w:val="24"/>
        </w:rPr>
      </w:r>
    </w:p>
    <w:p>
      <w:pPr>
        <w:pStyle w:val="950"/>
        <w:numPr>
          <w:ilvl w:val="0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省政府权力来自总统府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无主权功能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主要执行联邦政策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它是“国家行政”的一部分，而不是“地方自治”。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88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3. 市级：宪法直接赋能的地方自治政府（基层主权代理体）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 w:val="24"/>
          <w:szCs w:val="24"/>
        </w:rPr>
      </w:r>
    </w:p>
    <w:p>
      <w:pPr>
        <w:pStyle w:val="950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由宪法直接授权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拥有地方行政权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拥有地方财政权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对地方公民负责，不对省负责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它体现了现代国家治理中最核心的制度精神——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自治必须有独立合法性与财政基础。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88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五、此条款的制度精神：统一主权与基层自治的双重平衡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本条款在短短几行中完成了一个极为成熟的制度设计：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主权高度统一 —— 联邦掌握四大主权权力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行政体系纵向统一 —— 省级完全纳入总统府体系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地方治理横向自治 —— 市级由宪法直接授权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财政权分层 —— 联邦统摄、省受授、市自治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这形成：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联邦不分裂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省不能坐大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950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市能真正自治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从而构建了一个既稳定、又具有地方活力的现代国家治理体系。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Style w:val="88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结语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该条款的核心价值不在于规定“谁能做什么”，而在于明确“每一级权力从哪里来”。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权力来源决定治理结构，而治理结构决定国家的未来走向。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通过对主权、行政与财政权力的分层设计，该条款构建了“联邦统一、省级协调、市级自治”的三层国家架构，使中华民族联邦共和国既能保持主权统一的战略能力，又能确保地方自治的治理效率。这既是一种制度创新，也是一种治理哲学上的成熟选择。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>
          <w:rFonts w:ascii="宋體-簡" w:hAnsi="宋體-簡" w:cs="宋體-簡"/>
          <w:b/>
          <w:bCs/>
          <w:color w:val="000000"/>
          <w:sz w:val="24"/>
          <w:szCs w:val="24"/>
          <w:highlight w:val="none"/>
          <w:u w:val="none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  <w:highlight w:val="none"/>
        </w:rPr>
      </w:r>
      <w:r>
        <w:rPr>
          <w:rFonts w:ascii="宋體-簡" w:hAnsi="宋體-簡" w:eastAsia="宋體-簡" w:cs="宋體-簡"/>
          <w:b/>
          <w:color w:val="000000"/>
          <w:sz w:val="24"/>
          <w:szCs w:val="24"/>
          <w:highlight w:val="none"/>
        </w:rPr>
      </w:r>
      <w:r>
        <w:rPr>
          <w:rFonts w:ascii="宋體-簡" w:hAnsi="宋體-簡" w:cs="宋體-簡"/>
          <w:b/>
          <w:bCs/>
          <w:color w:val="000000"/>
          <w:sz w:val="24"/>
          <w:szCs w:val="24"/>
          <w:highlight w:val="none"/>
          <w:u w:val="none"/>
        </w:rPr>
      </w:r>
    </w:p>
    <w:sectPr>
      <w:footnotePr/>
      <w:endnotePr/>
      <w:type w:val="nextPage"/>
      <w:pgSz w:h="15840" w:orient="portrait" w:w="12240"/>
      <w:pgMar w:top="1440" w:right="1083" w:bottom="1440" w:left="1083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ongti SC">
    <w:panose1 w:val="02010600040101010101"/>
  </w:font>
  <w:font w:name="宋體-簡">
    <w:panose1 w:val="02010600040101010101"/>
  </w:font>
  <w:font w:name="Times">
    <w:panose1 w:val="00000500000000020000"/>
  </w:font>
  <w:font w:name="Wingdings">
    <w:panose1 w:val="0500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DF80ED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">
    <w:nsid w:val="1880F26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2E77B572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3">
    <w:nsid w:val="45C6C7E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7E5E172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61CB4BB4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">
    <w:nsid w:val="483DB7AF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7">
    <w:nsid w:val="4FF148C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71D8F4E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529D17D9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0">
    <w:nsid w:val="2D2DCC1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56311A53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" w:hAnsi="Times" w:eastAsia="Times" w:cs="Times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2">
    <w:nsid w:val="5C58354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7F3D4BEA"/>
    <w:lvl w:ilvl="0">
      <w:isLgl w:val="false"/>
      <w:lvlJc w:val="left"/>
      <w:lvlText w:val="·"/>
      <w:numFmt w:val="bullet"/>
      <w:pPr>
        <w:pBdr/>
        <w:spacing/>
        <w:ind w:hanging="283" w:left="56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0555734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2C423AA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1BB1216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7901EA9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118E3EE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6228471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23632DA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6EBEA35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615A7A5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4D8A118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3F0F832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19C211D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0F98A35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4C3C97B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3D8042FC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9">
    <w:nsid w:val="465AB26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61">
    <w:name w:val="Table Grid"/>
    <w:basedOn w:val="94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Table Grid Light"/>
    <w:basedOn w:val="94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Plain Table 1"/>
    <w:basedOn w:val="94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Plain Table 2"/>
    <w:basedOn w:val="94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Plain Table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Plain Table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Plain Table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1 Light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1 Light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1 Light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1 Light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2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2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2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2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3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3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3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3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"/>
    <w:basedOn w:val="9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1"/>
    <w:basedOn w:val="9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4 - Accent 2"/>
    <w:basedOn w:val="9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 - Accent 3"/>
    <w:basedOn w:val="9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4 - Accent 4"/>
    <w:basedOn w:val="9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4 - Accent 5"/>
    <w:basedOn w:val="9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4 - Accent 6"/>
    <w:basedOn w:val="9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5 Dark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5 Dark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5 Dark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5 Dark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6 Colorful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6 Colorful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6 Colorful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7 Colorful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7 Colorful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7 Colorful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1 Light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1 Light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1 Light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2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2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2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3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3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3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3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4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4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4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4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5 Dark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5 Dark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5 Dark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6 Colorful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6 Colorful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6 Colorful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6 Colorful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7 Colorful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7 Colorful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7 Colorful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7 Colorful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1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ned - Accent 2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ned - Accent 3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ned - Accent 4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ned - Accent 5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ned - Accent 6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1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&amp; Lined - Accent 2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&amp; Lined - Accent 3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&amp; Lined - Accent 4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&amp; Lined - Accent 5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&amp; Lined - Accent 6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7">
    <w:name w:val="Heading 1"/>
    <w:basedOn w:val="946"/>
    <w:next w:val="946"/>
    <w:link w:val="89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88">
    <w:name w:val="Heading 2"/>
    <w:basedOn w:val="946"/>
    <w:next w:val="946"/>
    <w:link w:val="89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89">
    <w:name w:val="Heading 3"/>
    <w:basedOn w:val="946"/>
    <w:next w:val="946"/>
    <w:link w:val="89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90">
    <w:name w:val="Heading 4"/>
    <w:basedOn w:val="946"/>
    <w:next w:val="946"/>
    <w:link w:val="90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91">
    <w:name w:val="Heading 5"/>
    <w:basedOn w:val="946"/>
    <w:next w:val="946"/>
    <w:link w:val="90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92">
    <w:name w:val="Heading 6"/>
    <w:basedOn w:val="946"/>
    <w:next w:val="946"/>
    <w:link w:val="90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93">
    <w:name w:val="Heading 7"/>
    <w:basedOn w:val="946"/>
    <w:next w:val="946"/>
    <w:link w:val="90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94">
    <w:name w:val="Heading 8"/>
    <w:basedOn w:val="946"/>
    <w:next w:val="946"/>
    <w:link w:val="90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95">
    <w:name w:val="Heading 9"/>
    <w:basedOn w:val="946"/>
    <w:next w:val="946"/>
    <w:link w:val="90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96" w:default="1">
    <w:name w:val="Default Paragraph Font"/>
    <w:uiPriority w:val="1"/>
    <w:semiHidden/>
    <w:unhideWhenUsed/>
    <w:pPr>
      <w:pBdr/>
      <w:spacing/>
      <w:ind/>
    </w:pPr>
  </w:style>
  <w:style w:type="character" w:styleId="897">
    <w:name w:val="Heading 1 Char"/>
    <w:basedOn w:val="896"/>
    <w:link w:val="8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8">
    <w:name w:val="Heading 2 Char"/>
    <w:basedOn w:val="896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9">
    <w:name w:val="Heading 3 Char"/>
    <w:basedOn w:val="896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00">
    <w:name w:val="Heading 4 Char"/>
    <w:basedOn w:val="896"/>
    <w:link w:val="89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01">
    <w:name w:val="Heading 5 Char"/>
    <w:basedOn w:val="896"/>
    <w:link w:val="8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02">
    <w:name w:val="Heading 6 Char"/>
    <w:basedOn w:val="896"/>
    <w:link w:val="89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3">
    <w:name w:val="Heading 7 Char"/>
    <w:basedOn w:val="896"/>
    <w:link w:val="89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4">
    <w:name w:val="Heading 8 Char"/>
    <w:basedOn w:val="896"/>
    <w:link w:val="89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5">
    <w:name w:val="Heading 9 Char"/>
    <w:basedOn w:val="896"/>
    <w:link w:val="89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06">
    <w:name w:val="Title"/>
    <w:basedOn w:val="946"/>
    <w:next w:val="946"/>
    <w:link w:val="90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07">
    <w:name w:val="Title Char"/>
    <w:basedOn w:val="896"/>
    <w:link w:val="90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08">
    <w:name w:val="Subtitle"/>
    <w:basedOn w:val="946"/>
    <w:next w:val="946"/>
    <w:link w:val="90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9">
    <w:name w:val="Subtitle Char"/>
    <w:basedOn w:val="896"/>
    <w:link w:val="90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10">
    <w:name w:val="Quote"/>
    <w:basedOn w:val="946"/>
    <w:next w:val="946"/>
    <w:link w:val="91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11">
    <w:name w:val="Quote Char"/>
    <w:basedOn w:val="896"/>
    <w:link w:val="91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12">
    <w:name w:val="Intense Emphasis"/>
    <w:basedOn w:val="89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13">
    <w:name w:val="Intense Quote"/>
    <w:basedOn w:val="946"/>
    <w:next w:val="946"/>
    <w:link w:val="91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14">
    <w:name w:val="Intense Quote Char"/>
    <w:basedOn w:val="896"/>
    <w:link w:val="91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5">
    <w:name w:val="Intense Reference"/>
    <w:basedOn w:val="89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16">
    <w:name w:val="Subtle Emphasis"/>
    <w:basedOn w:val="89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7">
    <w:name w:val="Emphasis"/>
    <w:basedOn w:val="896"/>
    <w:uiPriority w:val="20"/>
    <w:qFormat/>
    <w:pPr>
      <w:pBdr/>
      <w:spacing/>
      <w:ind/>
    </w:pPr>
    <w:rPr>
      <w:i/>
      <w:iCs/>
    </w:rPr>
  </w:style>
  <w:style w:type="character" w:styleId="918">
    <w:name w:val="Strong"/>
    <w:basedOn w:val="896"/>
    <w:uiPriority w:val="22"/>
    <w:qFormat/>
    <w:pPr>
      <w:pBdr/>
      <w:spacing/>
      <w:ind/>
    </w:pPr>
    <w:rPr>
      <w:b/>
      <w:bCs/>
    </w:rPr>
  </w:style>
  <w:style w:type="character" w:styleId="919">
    <w:name w:val="Subtle Reference"/>
    <w:basedOn w:val="89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20">
    <w:name w:val="Book Title"/>
    <w:basedOn w:val="89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21">
    <w:name w:val="Header"/>
    <w:basedOn w:val="946"/>
    <w:link w:val="92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2">
    <w:name w:val="Header Char"/>
    <w:basedOn w:val="896"/>
    <w:link w:val="921"/>
    <w:uiPriority w:val="99"/>
    <w:pPr>
      <w:pBdr/>
      <w:spacing/>
      <w:ind/>
    </w:pPr>
  </w:style>
  <w:style w:type="paragraph" w:styleId="923">
    <w:name w:val="Footer"/>
    <w:basedOn w:val="946"/>
    <w:link w:val="92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4">
    <w:name w:val="Footer Char"/>
    <w:basedOn w:val="896"/>
    <w:link w:val="923"/>
    <w:uiPriority w:val="99"/>
    <w:pPr>
      <w:pBdr/>
      <w:spacing/>
      <w:ind/>
    </w:pPr>
  </w:style>
  <w:style w:type="paragraph" w:styleId="925">
    <w:name w:val="Caption"/>
    <w:basedOn w:val="946"/>
    <w:next w:val="94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26">
    <w:name w:val="footnote text"/>
    <w:basedOn w:val="946"/>
    <w:link w:val="92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7">
    <w:name w:val="Footnote Text Char"/>
    <w:basedOn w:val="896"/>
    <w:link w:val="926"/>
    <w:uiPriority w:val="99"/>
    <w:semiHidden/>
    <w:pPr>
      <w:pBdr/>
      <w:spacing/>
      <w:ind/>
    </w:pPr>
    <w:rPr>
      <w:sz w:val="20"/>
      <w:szCs w:val="20"/>
    </w:rPr>
  </w:style>
  <w:style w:type="character" w:styleId="928">
    <w:name w:val="footnote reference"/>
    <w:basedOn w:val="896"/>
    <w:uiPriority w:val="99"/>
    <w:semiHidden/>
    <w:unhideWhenUsed/>
    <w:pPr>
      <w:pBdr/>
      <w:spacing/>
      <w:ind/>
    </w:pPr>
    <w:rPr>
      <w:vertAlign w:val="superscript"/>
    </w:rPr>
  </w:style>
  <w:style w:type="paragraph" w:styleId="929">
    <w:name w:val="endnote text"/>
    <w:basedOn w:val="946"/>
    <w:link w:val="93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0">
    <w:name w:val="Endnote Text Char"/>
    <w:basedOn w:val="896"/>
    <w:link w:val="929"/>
    <w:uiPriority w:val="99"/>
    <w:semiHidden/>
    <w:pPr>
      <w:pBdr/>
      <w:spacing/>
      <w:ind/>
    </w:pPr>
    <w:rPr>
      <w:sz w:val="20"/>
      <w:szCs w:val="20"/>
    </w:rPr>
  </w:style>
  <w:style w:type="character" w:styleId="931">
    <w:name w:val="endnote reference"/>
    <w:basedOn w:val="896"/>
    <w:uiPriority w:val="99"/>
    <w:semiHidden/>
    <w:unhideWhenUsed/>
    <w:pPr>
      <w:pBdr/>
      <w:spacing/>
      <w:ind/>
    </w:pPr>
    <w:rPr>
      <w:vertAlign w:val="superscript"/>
    </w:rPr>
  </w:style>
  <w:style w:type="character" w:styleId="932">
    <w:name w:val="Hyperlink"/>
    <w:basedOn w:val="89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33">
    <w:name w:val="FollowedHyperlink"/>
    <w:basedOn w:val="89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34">
    <w:name w:val="toc 1"/>
    <w:basedOn w:val="946"/>
    <w:next w:val="946"/>
    <w:uiPriority w:val="39"/>
    <w:unhideWhenUsed/>
    <w:pPr>
      <w:pBdr/>
      <w:spacing w:after="100"/>
      <w:ind/>
    </w:pPr>
  </w:style>
  <w:style w:type="paragraph" w:styleId="935">
    <w:name w:val="toc 2"/>
    <w:basedOn w:val="946"/>
    <w:next w:val="946"/>
    <w:uiPriority w:val="39"/>
    <w:unhideWhenUsed/>
    <w:pPr>
      <w:pBdr/>
      <w:spacing w:after="100"/>
      <w:ind w:left="220"/>
    </w:pPr>
  </w:style>
  <w:style w:type="paragraph" w:styleId="936">
    <w:name w:val="toc 3"/>
    <w:basedOn w:val="946"/>
    <w:next w:val="946"/>
    <w:uiPriority w:val="39"/>
    <w:unhideWhenUsed/>
    <w:pPr>
      <w:pBdr/>
      <w:spacing w:after="100"/>
      <w:ind w:left="440"/>
    </w:pPr>
  </w:style>
  <w:style w:type="paragraph" w:styleId="937">
    <w:name w:val="toc 4"/>
    <w:basedOn w:val="946"/>
    <w:next w:val="946"/>
    <w:uiPriority w:val="39"/>
    <w:unhideWhenUsed/>
    <w:pPr>
      <w:pBdr/>
      <w:spacing w:after="100"/>
      <w:ind w:left="660"/>
    </w:pPr>
  </w:style>
  <w:style w:type="paragraph" w:styleId="938">
    <w:name w:val="toc 5"/>
    <w:basedOn w:val="946"/>
    <w:next w:val="946"/>
    <w:uiPriority w:val="39"/>
    <w:unhideWhenUsed/>
    <w:pPr>
      <w:pBdr/>
      <w:spacing w:after="100"/>
      <w:ind w:left="880"/>
    </w:pPr>
  </w:style>
  <w:style w:type="paragraph" w:styleId="939">
    <w:name w:val="toc 6"/>
    <w:basedOn w:val="946"/>
    <w:next w:val="946"/>
    <w:uiPriority w:val="39"/>
    <w:unhideWhenUsed/>
    <w:pPr>
      <w:pBdr/>
      <w:spacing w:after="100"/>
      <w:ind w:left="1100"/>
    </w:pPr>
  </w:style>
  <w:style w:type="paragraph" w:styleId="940">
    <w:name w:val="toc 7"/>
    <w:basedOn w:val="946"/>
    <w:next w:val="946"/>
    <w:uiPriority w:val="39"/>
    <w:unhideWhenUsed/>
    <w:pPr>
      <w:pBdr/>
      <w:spacing w:after="100"/>
      <w:ind w:left="1320"/>
    </w:pPr>
  </w:style>
  <w:style w:type="paragraph" w:styleId="941">
    <w:name w:val="toc 8"/>
    <w:basedOn w:val="946"/>
    <w:next w:val="946"/>
    <w:uiPriority w:val="39"/>
    <w:unhideWhenUsed/>
    <w:pPr>
      <w:pBdr/>
      <w:spacing w:after="100"/>
      <w:ind w:left="1540"/>
    </w:pPr>
  </w:style>
  <w:style w:type="paragraph" w:styleId="942">
    <w:name w:val="toc 9"/>
    <w:basedOn w:val="946"/>
    <w:next w:val="946"/>
    <w:uiPriority w:val="39"/>
    <w:unhideWhenUsed/>
    <w:pPr>
      <w:pBdr/>
      <w:spacing w:after="100"/>
      <w:ind w:left="1760"/>
    </w:pPr>
  </w:style>
  <w:style w:type="character" w:styleId="943">
    <w:name w:val="Placeholder Text"/>
    <w:basedOn w:val="896"/>
    <w:uiPriority w:val="99"/>
    <w:semiHidden/>
    <w:pPr>
      <w:pBdr/>
      <w:spacing/>
      <w:ind/>
    </w:pPr>
    <w:rPr>
      <w:color w:val="666666"/>
    </w:rPr>
  </w:style>
  <w:style w:type="paragraph" w:styleId="944">
    <w:name w:val="TOC Heading"/>
    <w:uiPriority w:val="39"/>
    <w:unhideWhenUsed/>
    <w:pPr>
      <w:pBdr/>
      <w:spacing/>
      <w:ind/>
    </w:pPr>
  </w:style>
  <w:style w:type="paragraph" w:styleId="945">
    <w:name w:val="table of figures"/>
    <w:basedOn w:val="946"/>
    <w:next w:val="946"/>
    <w:uiPriority w:val="99"/>
    <w:unhideWhenUsed/>
    <w:pPr>
      <w:pBdr/>
      <w:spacing w:after="0" w:afterAutospacing="0"/>
      <w:ind/>
    </w:pPr>
  </w:style>
  <w:style w:type="paragraph" w:styleId="946" w:default="1">
    <w:name w:val="Normal"/>
    <w:qFormat/>
    <w:pPr>
      <w:pBdr/>
      <w:spacing/>
      <w:ind/>
    </w:pPr>
  </w:style>
  <w:style w:type="table" w:styleId="94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8" w:default="1">
    <w:name w:val="No List"/>
    <w:uiPriority w:val="99"/>
    <w:semiHidden/>
    <w:unhideWhenUsed/>
    <w:pPr>
      <w:pBdr/>
      <w:spacing/>
      <w:ind/>
    </w:pPr>
  </w:style>
  <w:style w:type="paragraph" w:styleId="949">
    <w:name w:val="No Spacing"/>
    <w:basedOn w:val="946"/>
    <w:uiPriority w:val="1"/>
    <w:qFormat/>
    <w:pPr>
      <w:pBdr/>
      <w:spacing w:after="0" w:line="240" w:lineRule="auto"/>
      <w:ind/>
    </w:pPr>
  </w:style>
  <w:style w:type="paragraph" w:styleId="950">
    <w:name w:val="List Paragraph"/>
    <w:basedOn w:val="94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ONLYOFFICE/9.1.0.172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2025-12-13T07:17:10Z</dcterms:modified>
</cp:coreProperties>
</file>