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pP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论中国民主的未来之《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公民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宪法》详解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  第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  <w:lang w:val="zh-Hans"/>
        </w:rPr>
        <w:t xml:space="preserve">10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篇</w:t>
      </w:r>
      <w:r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r>
      <w:r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Songti SC" w:hAnsi="Songti SC" w:eastAsia="Songti SC" w:cs="Songti SC"/>
          <w:b/>
          <w:bCs/>
          <w:color w:val="000000"/>
          <w:sz w:val="36"/>
          <w:szCs w:val="36"/>
          <w:highlight w:val="none"/>
        </w:rPr>
      </w:pP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宪法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第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九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条：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“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三级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政府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”的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权力分配</w:t>
      </w:r>
      <w:r>
        <w:rPr>
          <w:rFonts w:ascii="宋體-簡" w:hAnsi="宋體-簡" w:cs="宋體-簡"/>
          <w:b/>
          <w:bCs/>
          <w:color w:val="000000"/>
          <w:sz w:val="36"/>
          <w:szCs w:val="36"/>
          <w:highlight w:val="none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Songti SC" w:hAnsi="Songti SC" w:eastAsia="Songti SC" w:cs="Songti SC"/>
          <w:b/>
          <w:bCs/>
          <w:color w:val="000000"/>
          <w:sz w:val="36"/>
          <w:szCs w:val="36"/>
          <w:highlight w:val="none"/>
        </w:rPr>
      </w:pPr>
      <w:r>
        <w:rPr>
          <w:rFonts w:ascii="Songti SC" w:hAnsi="Songti SC" w:eastAsia="Songti SC" w:cs="Songti SC"/>
          <w:b/>
          <w:color w:val="000000"/>
          <w:sz w:val="36"/>
          <w:szCs w:val="36"/>
          <w:highlight w:val="none"/>
        </w:rPr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highlight w:val="none"/>
          <w:u w:val="none"/>
        </w:rPr>
        <w:t xml:space="preserve">作者：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  <w:t xml:space="preserve">程伟</w:t>
      </w:r>
      <w:r/>
      <w:r>
        <w:rPr>
          <w:rFonts w:ascii="Songti SC" w:hAnsi="Songti SC" w:eastAsia="Songti SC" w:cs="Songti SC"/>
          <w:b/>
          <w:color w:val="000000"/>
          <w:sz w:val="36"/>
          <w:szCs w:val="36"/>
          <w:highlight w:val="none"/>
        </w:rPr>
      </w:r>
      <w:r>
        <w:rPr>
          <w:rFonts w:ascii="宋體-簡" w:hAnsi="宋體-簡" w:cs="宋體-簡"/>
          <w:b/>
          <w:bCs/>
          <w:color w:val="000000"/>
          <w:sz w:val="36"/>
          <w:szCs w:val="36"/>
          <w:highlight w:val="none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摘要：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本条款确立了“联邦独掌主权权力、省级行政权来自总统府、市级行政权与征税权直接源于宪法”的三级权力架构，是整个国家治理结构中的主轴条款。其核心精神在于：将军事与外交权力集中于联邦，以保证国家统一与主权完整；将省级行政权设为“受授权体”，通过总统府统合全国行政体系；并给予市级行政区由宪法直接赋予的自治行政权与征税权，使其独立拥有地方治理的合法性基础。这套分权格局形成联邦主权统一、省级行政协调、市级自治稳固的三层治理结构，从而使国家治理具有高度的稳定性与可操作性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cs="宋體-簡"/>
          <w:sz w:val="24"/>
          <w:szCs w:val="24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引言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本条款以极简文字，奠定了整个国家行政权力的基本秩序。它定义了谁是国家最高行权机构、谁拥有主权性权力、谁具备自治性权力、谁必须从中央受权。其制度意义远大于字面描述：它不仅说明“权力归属”，更说明“权力来源”，而权力来源决定合法性、权威性与可行性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因此，这不是普通行政条款，而是整个国家治理体系的骨架。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一、联邦政府：国家主权权力的唯一中心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宪法直接规定：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225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国家联邦政府，是国家行政权和征税权的最高行权机构，是军事权和外交权的唯一行权机构。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这段条文包含四重意义：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联邦政府是全国行政体系的“顶点”，而非环节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“最高行权机构”意味着：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全国行政体系的最终裁决者是联邦政府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省、市行政权的合法性最终都必须与联邦保持一致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全国行政法、规制与政策以联邦为准，不得出现地区延伸的独立行政体系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换言之，全国行政体系具有统一的方向性。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军事权与外交权的高度集中，是国家不可分割性的制度保障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宪法明确规定：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军事权不得分散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外交权不得分散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这是典型的现代联邦国家主权架构，与美国、德国、加拿大等联邦国家相对应。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原因很简单：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军事权分散等于国防体系碎裂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外交权分散等于主权不统一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主权不能有多个声音，否则国家不可治理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因此本条款的设计逻辑是：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国家必须在主权性权力上保持绝对统一。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征税权提升为联邦的“主权性财政权”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宪法规定联邦政府不仅拥有征税权，而且是全国财政体系的最高权力机关。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意义包括：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联邦可以统筹全国财政预算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全国财政收入必须依法纳入联邦统一统计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各级政府的财政体系均须在联邦框架下运作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它让财政不再是行政附属，而是主权的一部分。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4. 权力来源来自宪法，而非授权、惯例或政治协议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条款明确写道：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225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军事权、外交权、行政权和征税权由宪法赋予。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“宪法赋予”意味着：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联邦政府的权力不是总统授予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不是人民代表机构授予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不是历史形成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是宪法直接规定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这是最高级别的权威。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换言之，联邦政府是唯一的主权权力机关，而不是众多机关中的一个。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二、省级行政区：作为“中央派驻行政体系”的中层结构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条文规定：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225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省级行政区没有军事权和外交权，省级行政区的行政权和征税权由总统府授予省政府。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这段文字的制度含义极为丰富。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省级不具备主权属性，只具备行政协调属性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“没有军事权，没有外交权”意味着：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省政府不是主权单位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省政府不能对外实施主权行为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省无法形成独立政治主体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这一条彻底排除省级政府发展为“准中央”的可能性。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省政府的行政权、财政权都不是“自治而得”，而是“总统府授予”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此处的“授予”形成最关键的制度逻辑：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省政府不是自治单位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省政府没有宪法直接赋权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省政府只能通过总统府获得行政权与征税权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因此，省政府是：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联邦行政体系中的“国家中层执行单位”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而非</w:t>
      </w: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地区自治政府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这与中国历史上“中央—省—县”的行政层级有继承关系，但又通过联邦制度进行了明确界定。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省政府承担全国行政的“协调、统合、执行”角色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由于省政府权力来自总统府，其职能自然形成：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承接国家政策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作为行政体系的“枢纽”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对辖区内市、县进行行政协调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不得制定独立于联邦的政策框架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它不是地方利益代表，而是国家行政体系的延伸。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三、市级行政区：宪法直接赋权的基层自治政府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条款规定：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225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e0e0e"/>
          <w:sz w:val="24"/>
          <w:szCs w:val="24"/>
        </w:rPr>
        <w:t xml:space="preserve">市级行政区没有军事权和外交权，市级行政区的行政权和征税权由宪法赋予市政府。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这里的制度亮点尤为突出。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市级行政权的合法性来自宪法，而不是省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这是全条结构中极具创新的一点：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省政府必须经总统府授权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市政府却由宪法直接授权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这意味着：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市是自治主体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市政府拥有自治权力的直接法律基础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市政府不从属于省政府的法律权源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换句话说：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省不是市的“上级政府”，只是行政体系的协调机构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市政府拥有“地方公共事务的完整自治权”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因为市级行政权为宪法赋予：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市拥有独立治理城市的完全正当性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市的行政事务、税收体系、城市规划都是自治范畴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市政府对市民负责，而非对省政府负责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它使“地方自治”真正具有制度基础，而非形式存在。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市拥有征税权，为地方自治提供财政基础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宪法直接赋予市政府征税权，意味着：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市可以依据宪法与法律设立地方税种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市拥有独立预算权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市级财政不依附省级财政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市可以自行筹措公共服务经费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而省级征税权是总统府授予，因此：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市财政自主性 &gt; 省财政自主性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这正是市级是“自治单位”、省级是“行政单位”的关键区分。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四、三级权力结构的总体逻辑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通过条款可清晰理解国家构造：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1. 联邦：掌握主权性权力（不可分裂）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军事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外交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国家行政总权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国家财政总权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联邦是国家的唯一主权机关。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2. 省级：全国行政体系的中层执行结构（受授权体）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省政府权力来自总统府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无主权功能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主要执行联邦政策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它是“国家行政”的一部分，而不是“地方自治”。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3. 市级：宪法直接赋能的地方自治政府（基层主权代理体）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由宪法直接授权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拥有地方行政权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拥有地方财政权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对地方公民负责，不对省负责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它体现了现代国家治理中最核心的制度精神——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自治必须有独立合法性与财政基础。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五、此条款的制度精神：统一主权与基层自治的双重平衡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本条款在短短几行中完成了一个极为成熟的制度设计：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主权高度统一 —— 联邦掌握四大主权权力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行政体系纵向统一 —— 省级完全纳入总统府体系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地方治理横向自治 —— 市级由宪法直接授权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财政权分层 —— 联邦统摄、省受授、市自治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这形成：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联邦不分裂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省不能坐大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668"/>
        <w:numPr>
          <w:ilvl w:val="0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市能真正自治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从而构建了一个既稳定、又具有地方活力的现代国家治理体系。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</w:rPr>
        <w:t xml:space="preserve">结语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该条款的核心价值不在于规定“谁能做什么”，而在于明确“每一级权力从哪里来”。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权力来源决定治理结构，而治理结构决定国家的未来走向。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Cs w:val="24"/>
        </w:rPr>
      </w:pP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通过对主权、行政与财政权力的分层设计，该条款构建了“联邦统一、省级协调、市级自治”的三层国家架构，使中华民族联邦共和国既能保持主权统一的战略能力，又能确保地方自治的治理效率。这既是一种制度创新，也是一种治理哲学上的成熟选择。</w:t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宋體-簡" w:hAnsi="宋體-簡" w:cs="宋體-簡"/>
          <w:b/>
          <w:bCs/>
          <w:color w:val="000000"/>
          <w:sz w:val="24"/>
          <w:szCs w:val="24"/>
          <w:highlight w:val="none"/>
          <w:u w:val="none"/>
        </w:rPr>
      </w:pPr>
      <w:r>
        <w:rPr>
          <w:rFonts w:ascii="宋體-簡" w:hAnsi="宋體-簡" w:eastAsia="宋體-簡" w:cs="宋體-簡"/>
          <w:b/>
          <w:color w:val="000000"/>
          <w:sz w:val="24"/>
          <w:szCs w:val="24"/>
          <w:highlight w:val="none"/>
        </w:rPr>
      </w:r>
      <w:r>
        <w:rPr>
          <w:rFonts w:ascii="宋體-簡" w:hAnsi="宋體-簡" w:eastAsia="宋體-簡" w:cs="宋體-簡"/>
          <w:b/>
          <w:color w:val="000000"/>
          <w:sz w:val="24"/>
          <w:szCs w:val="24"/>
          <w:highlight w:val="none"/>
        </w:rPr>
      </w:r>
      <w:r>
        <w:rPr>
          <w:rFonts w:ascii="宋體-簡" w:hAnsi="宋體-簡" w:eastAsia="宋體-簡" w:cs="宋體-簡"/>
          <w:b/>
          <w:color w:val="000000"/>
          <w:sz w:val="24"/>
          <w:szCs w:val="24"/>
          <w:highlight w:val="none"/>
        </w:rPr>
      </w:r>
    </w:p>
    <w:sectPr>
      <w:footnotePr/>
      <w:endnotePr/>
      <w:type w:val="nextPage"/>
      <w:pgSz w:h="15840" w:orient="portrait" w:w="12240"/>
      <w:pgMar w:top="1440" w:right="1083" w:bottom="1440" w:left="108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ongti SC">
    <w:panose1 w:val="02010600040101010101"/>
  </w:font>
  <w:font w:name="宋體-簡">
    <w:panose1 w:val="02010600040101010101"/>
  </w:font>
  <w:font w:name="Times">
    <w:panose1 w:val="00000500000000020000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F80ED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1880F26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E77B57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45C6C7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E5E17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61CB4BB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">
    <w:nsid w:val="483DB7A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">
    <w:nsid w:val="4FF148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71D8F4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529D17D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0">
    <w:nsid w:val="2D2DCC1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6311A5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" w:hAnsi="Times" w:eastAsia="Times" w:cs="Time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C58354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7F3D4B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0555734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2C423A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1BB1216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901EA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18E3E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22847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23632DA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6EBEA3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615A7A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D8A11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3F0F83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19C211D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0F98A35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C3C97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D8042F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9">
    <w:nsid w:val="465AB26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2025-12-03T05:54:38Z</dcterms:modified>
</cp:coreProperties>
</file>