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40" w:lineRule="auto"/>
        <w:ind w:right="0" w:firstLine="0" w:left="0"/>
        <w:jc w:val="center"/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论中国民主的未来之《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公民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宪法》详解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  第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  <w:lang w:val="zh-Hans"/>
        </w:rPr>
        <w:t xml:space="preserve">10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篇</w:t>
      </w:r>
      <w:r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r>
      <w:r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40" w:lineRule="auto"/>
        <w:ind w:right="0" w:firstLine="0" w:left="0"/>
        <w:jc w:val="center"/>
        <w:rPr>
          <w:rFonts w:ascii="Songti SC" w:hAnsi="Songti SC" w:eastAsia="Songti SC" w:cs="Songti SC"/>
          <w:b/>
          <w:bCs/>
          <w:color w:val="000000"/>
          <w:sz w:val="36"/>
          <w:szCs w:val="36"/>
          <w:highlight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宪法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第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九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条：</w:t>
      </w:r>
      <w:r>
        <w:rPr>
          <w:rFonts w:ascii="Songti SC" w:hAnsi="Songti SC" w:eastAsia="Songti SC" w:cs="Songti SC"/>
          <w:b/>
          <w:color w:val="000000"/>
          <w:sz w:val="36"/>
          <w:szCs w:val="36"/>
        </w:rPr>
        <w:t xml:space="preserve">“</w:t>
      </w:r>
      <w:r>
        <w:rPr>
          <w:rFonts w:ascii="Songti SC" w:hAnsi="Songti SC" w:eastAsia="Songti SC" w:cs="Songti SC"/>
          <w:b/>
          <w:color w:val="000000"/>
          <w:sz w:val="36"/>
          <w:szCs w:val="36"/>
        </w:rPr>
        <w:t xml:space="preserve">三级</w:t>
      </w:r>
      <w:r>
        <w:rPr>
          <w:rFonts w:ascii="Songti SC" w:hAnsi="Songti SC" w:eastAsia="Songti SC" w:cs="Songti SC"/>
          <w:b/>
          <w:color w:val="000000"/>
          <w:sz w:val="36"/>
          <w:szCs w:val="36"/>
        </w:rPr>
        <w:t xml:space="preserve">政府</w:t>
      </w:r>
      <w:r>
        <w:rPr>
          <w:rFonts w:ascii="Songti SC" w:hAnsi="Songti SC" w:eastAsia="Songti SC" w:cs="Songti SC"/>
          <w:b/>
          <w:color w:val="000000"/>
          <w:sz w:val="36"/>
          <w:szCs w:val="36"/>
        </w:rPr>
        <w:t xml:space="preserve">”的</w:t>
      </w:r>
      <w:r>
        <w:rPr>
          <w:rFonts w:ascii="Songti SC" w:hAnsi="Songti SC" w:eastAsia="Songti SC" w:cs="Songti SC"/>
          <w:b/>
          <w:color w:val="000000"/>
          <w:sz w:val="36"/>
          <w:szCs w:val="36"/>
        </w:rPr>
        <w:t xml:space="preserve">权力分配</w:t>
      </w:r>
      <w:r>
        <w:rPr>
          <w:rFonts w:ascii="Songti SC" w:hAnsi="Songti SC" w:eastAsia="Songti SC" w:cs="Songti SC"/>
          <w:b/>
          <w:bCs/>
          <w:color w:val="000000"/>
          <w:sz w:val="36"/>
          <w:szCs w:val="36"/>
          <w:highlight w:val="none"/>
        </w:rPr>
      </w:r>
      <w:r>
        <w:rPr>
          <w:rFonts w:ascii="Songti SC" w:hAnsi="Songti SC" w:eastAsia="Songti SC" w:cs="Songti SC"/>
          <w:b/>
          <w:bCs/>
          <w:color w:val="000000"/>
          <w:sz w:val="36"/>
          <w:szCs w:val="36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Songti SC" w:hAnsi="Songti SC" w:eastAsia="Songti SC" w:cs="Songti SC"/>
          <w:b/>
          <w:bCs/>
          <w:color w:val="000000"/>
          <w:sz w:val="36"/>
          <w:szCs w:val="36"/>
          <w:highlight w:val="none"/>
        </w:rPr>
      </w:pPr>
      <w:r>
        <w:rPr>
          <w:rFonts w:ascii="Songti SC" w:hAnsi="Songti SC" w:eastAsia="Songti SC" w:cs="Songti SC"/>
          <w:b/>
          <w:color w:val="000000"/>
          <w:sz w:val="36"/>
          <w:szCs w:val="36"/>
          <w:highlight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作者：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程伟</w:t>
      </w:r>
      <w:r>
        <w:rPr>
          <w:rFonts w:ascii="Songti SC" w:hAnsi="Songti SC" w:eastAsia="Songti SC" w:cs="Songti SC"/>
          <w:b/>
          <w:bCs/>
          <w:color w:val="000000"/>
          <w:sz w:val="36"/>
          <w:szCs w:val="36"/>
          <w:highlight w:val="none"/>
        </w:rPr>
      </w:r>
      <w:r>
        <w:rPr>
          <w:rFonts w:ascii="Songti SC" w:hAnsi="Songti SC" w:eastAsia="Songti SC" w:cs="Songti SC"/>
          <w:b/>
          <w:bCs/>
          <w:color w:val="000000"/>
          <w:sz w:val="36"/>
          <w:szCs w:val="36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摘要：</w:t>
      </w:r>
      <w:r>
        <w:rPr>
          <w:rFonts w:ascii="宋體-簡" w:hAnsi="宋體-簡" w:eastAsia="宋體-簡" w:cs="宋體-簡"/>
          <w:color w:val="000000"/>
          <w:sz w:val="24"/>
          <w:szCs w:val="24"/>
        </w:rPr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二二联邦制联邦政府的权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力延伸到省级行政区，即保障了政府的高效运行，又遏制了分裂独立势力的规模；同时与公民日常生活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息息相关，平常接触机会更加频繁的市镇一级政府，实行自治政府，以保障公民自治的最大空间，且能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有效阻止中央的权力触及到每个角落而形成中央集权，并防止自治政府形成分裂独立的势力规模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引言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中国古代两千年的帝制形成了根深蒂固的中央集权观念，而集权、文革、文字狱等统治权术又将国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人很大程度上的教化成了一群没有反抗精神、没有规则意识、没有人权观念的顺民。且中国地大物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博、民族众多、地域复杂，权力太过集中，容易形成集权统治，权力太过分散，又容易造成一盘散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沙。故一种折中的方案是解决以上问题的不二之选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为此，制订二二联邦制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。</w:t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二二联邦制联邦政府的权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力延伸到省级行政区，即保障了政府的高效运行，又遏制了分裂独立势力的规模；同时与公民日常生活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息息相关，平常接触机会更加频繁的市镇一级政府，实行自治政府，以保障公民自治的最大空间，且能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有效阻止中央的权力触及到每个角落而形成中央集权，并防止自治政府形成分裂独立的势力规模。如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此，省级行政区有分裂独立的势力规模，却要受制于国家联邦政府，市镇级行政区无需受制于联邦政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府，却没有分裂独立的势力规模，以此保障国家统一、行政高效、地方自治、公民自由。</w:t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96990" cy="3329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253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11288" r="0" b="10641"/>
                        <a:stretch/>
                      </pic:blipFill>
                      <pic:spPr bwMode="auto">
                        <a:xfrm flipH="0" flipV="0">
                          <a:off x="0" y="0"/>
                          <a:ext cx="6396989" cy="332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3.70pt;height:262.16pt;mso-wrap-distance-left:0.00pt;mso-wrap-distance-top:0.00pt;mso-wrap-distance-right:0.00pt;mso-wrap-distance-bottom:0.00pt;z-index:1;" stroked="false">
                <v:imagedata r:id="rId9" o:title="" croptop="7398f" cropleft="0f" cropbottom="6974f" cropright="0f"/>
                <o:lock v:ext="edit" rotation="t"/>
              </v:shape>
            </w:pict>
          </mc:Fallback>
        </mc:AlternateContent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r>
      <w:r/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一、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联邦政府：国家主权权力的唯一中心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283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宪法规定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：</w:t>
      </w:r>
      <w:r>
        <w:rPr>
          <w:rFonts w:ascii="宋體-簡" w:hAnsi="宋體-簡" w:eastAsia="宋體-簡" w:cs="宋體-簡"/>
          <w:b/>
          <w:color w:val="0e0e0e"/>
          <w:sz w:val="24"/>
          <w:szCs w:val="24"/>
        </w:rPr>
        <w:t xml:space="preserve">国家联邦政府，是国家行政权和征税权的最高行权机构，是军事权和外交权的唯一行权机构。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本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条文包含四重意义：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1. 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联邦政府是全国行政体系的“顶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点”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意味着：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Style w:val="950"/>
        <w:numPr>
          <w:ilvl w:val="0"/>
          <w:numId w:val="1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17" w:lineRule="atLeast"/>
        <w:ind w:right="0" w:hanging="283" w:left="567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形成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了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全国</w:t>
      </w:r>
      <w:r>
        <w:rPr>
          <w:rFonts w:ascii="宋體-簡" w:hAnsi="宋體-簡" w:eastAsia="宋體-簡" w:cs="宋體-簡"/>
          <w:sz w:val="24"/>
          <w:szCs w:val="24"/>
        </w:rPr>
        <w:t xml:space="preserve">互联互通</w:t>
      </w:r>
      <w:r>
        <w:rPr>
          <w:rFonts w:ascii="宋體-簡" w:hAnsi="宋體-簡" w:eastAsia="宋體-簡" w:cs="宋體-簡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</w:rPr>
        <w:t xml:space="preserve">行政体系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明确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联邦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权限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与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地方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权力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之间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关系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为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统一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市场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提供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高效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行政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支持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；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限制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行政区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行政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来自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使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行政区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与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联邦保持一致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防止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省级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行政区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脱离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联邦</w:t>
      </w:r>
      <w:r>
        <w:rPr>
          <w:rFonts w:ascii="宋體-簡" w:hAnsi="宋體-簡" w:eastAsia="宋體-簡" w:cs="宋體-簡"/>
          <w:sz w:val="24"/>
          <w:szCs w:val="24"/>
          <w:lang w:val="zh-Hans"/>
        </w:rPr>
        <w:t xml:space="preserve">；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eastAsia="宋體-簡" w:cs="宋體-簡"/>
          <w:color w:val="000000"/>
          <w:sz w:val="24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有效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避免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省级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行政区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脱离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同时，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隔离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省级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行政区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与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市级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行政区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行政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权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能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有效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保障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地方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自治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不受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联邦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制约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最大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限度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平衡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中央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集权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与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地方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自治，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即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防止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过度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中央集权，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又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防止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分裂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势力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做大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规模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的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可能性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  <w:t xml:space="preserve">；</w:t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</w:r>
      <w:r>
        <w:rPr>
          <w:rFonts w:ascii="宋體-簡" w:hAnsi="宋體-簡" w:eastAsia="宋體-簡" w:cs="宋體-簡"/>
          <w:color w:val="000000"/>
          <w:sz w:val="24"/>
          <w:szCs w:val="24"/>
          <w:lang w:val="zh-Hans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2. 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</w:rPr>
        <w:t xml:space="preserve">明确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</w:rPr>
        <w:t xml:space="preserve">军事权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</w:rPr>
        <w:t xml:space="preserve">与外交权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</w:rPr>
        <w:t xml:space="preserve">属于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</w:rPr>
        <w:t xml:space="preserve">中央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</w:rPr>
        <w:t xml:space="preserve">权力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宪法明确规定：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军事权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与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外交权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属于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专有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权力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这是典型的现代联邦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制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主权架构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国家主权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性质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权力保持绝对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统一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，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是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维护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体制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根基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之所在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3. 征税权提升为联邦的“主权性财政权”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宪法规定联邦政府不仅拥有征税权，而且是全国财政体系的最高权力机关。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意义包括：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联邦可以统筹全国财政预算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全国财政收入必须依法纳入联邦统一统计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各级政府的财政体系均须在联邦框架下运作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它让财政不再是行政附属，而是主权的一部分。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4. 权力来源来自宪法，而非授权、惯例或政治协议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条款明确写道：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225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e0e0e"/>
          <w:sz w:val="24"/>
          <w:szCs w:val="24"/>
        </w:rPr>
        <w:t xml:space="preserve">军事权、外交权、行政权和征税权由宪法赋予。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“宪法赋予”意味着：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联邦政府的权力不是总统授予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不是人民代表机构授予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不是历史形成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是宪法直接规定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这是最高级别的权威。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换言之，联邦政府是唯一的主权权力机关，而不是众多机关中的一个。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二、省级行政区：作为“中央派驻行政体系”的中层结构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条文规定：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225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e0e0e"/>
          <w:sz w:val="24"/>
          <w:szCs w:val="24"/>
        </w:rPr>
        <w:t xml:space="preserve">省级行政区没有军事权和外交权，省级行政区的行政权和征税权由总统府授予省政府。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这段文字的制度含义极为丰富。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1. 省级不具备主权属性，只具备行政协调属性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“没有军事权，没有外交权”意味着：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省政府不是主权单位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省政府不能对外实施主权行为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1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省无法形成独立政治主体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这一条彻底排除省级政府发展为“准中央”的可能性。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2. 省政府的行政权、财政权都不是“自治而得”，而是“总统府授予”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此处的“授予”形成最关键的制度逻辑：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省政府不是自治单位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省政府没有宪法直接赋权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省政府只能通过总统府获得行政权与征税权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因此，省政府是：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联邦行政体系中的“国家中层执行单位”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而非</w:t>
      </w: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地区自治政府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这与中国历史上“中央—省—县”的行政层级有继承关系，但又通过联邦制度进行了明确界定。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3. 省政府承担全国行政的“协调、统合、执行”角色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由于省政府权力来自总统府，其职能自然形成：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承接国家政策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作为行政体系的“枢纽”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对辖区内市、县进行行政协调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不得制定独立于联邦的政策框架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它不是地方利益代表，而是国家行政体系的延伸。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三、市级行政区：宪法直接赋权的基层自治政府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条款规定：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225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e0e0e"/>
          <w:sz w:val="24"/>
          <w:szCs w:val="24"/>
        </w:rPr>
        <w:t xml:space="preserve">市级行政区没有军事权和外交权，市级行政区的行政权和征税权由宪法赋予市政府。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这里的制度亮点尤为突出。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1. 市级行政权的合法性来自宪法，而不是省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这是全条结构中极具创新的一点：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省政府必须经总统府授权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市政府却由宪法直接授权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这意味着：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市是自治主体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市政府拥有自治权力的直接法律基础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市政府不从属于省政府的法律权源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换句话说：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省不是市的“上级政府”，只是行政体系的协调机构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2. 市政府拥有“地方公共事务的完整自治权”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因为市级行政权为宪法赋予：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市拥有独立治理城市的完全正当性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市的行政事务、税收体系、城市规划都是自治范畴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市政府对市民负责，而非对省政府负责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它使“地方自治”真正具有制度基础，而非形式存在。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3. 市拥有征税权，为地方自治提供财政基础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宪法直接赋予市政府征税权，意味着：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市可以依据宪法与法律设立地方税种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市拥有独立预算权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市级财政不依附省级财政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市可以自行筹措公共服务经费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而省级征税权是总统府授予，因此：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市财政自主性 &gt; 省财政自主性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这正是市级是“自治单位”、省级是“行政单位”的关键区分。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四、三级权力结构的总体逻辑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通过条款可清晰理解国家构造：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1. 联邦：掌握主权性权力（不可分裂）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Style w:val="950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军事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外交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国家行政总权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国家财政总权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联邦是国家的唯一主权机关。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2. 省级：全国行政体系的中层执行结构（受授权体）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Style w:val="950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省政府权力来自总统府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无主权功能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主要执行联邦政策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它是“国家行政”的一部分，而不是“地方自治”。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3. 市级：宪法直接赋能的地方自治政府（基层主权代理体）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pStyle w:val="950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由宪法直接授权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拥有地方行政权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拥有地方财政权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对地方公民负责，不对省负责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它体现了现代国家治理中最核心的制度精神——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自治必须有独立合法性与财政基础。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五、此条款的制度精神：统一主权与基层自治的双重平衡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本条款在短短几行中完成了一个极为成熟的制度设计：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主权高度统一 —— 联邦掌握四大主权权力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行政体系纵向统一 —— 省级完全纳入总统府体系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地方治理横向自治 —— 市级由宪法直接授权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财政权分层 —— 联邦统摄、省受授、市自治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这形成：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联邦不分裂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省不能坐大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950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市能真正自治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从而构建了一个既稳定、又具有地方活力的现代国家治理体系。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pStyle w:val="88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</w:rPr>
        <w:t xml:space="preserve">结语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该条款的核心价值不在于规定“谁能做什么”，而在于明确“每一级权力从哪里来”。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权力来源决定治理结构，而治理结构决定国家的未来走向。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szCs w:val="24"/>
        </w:rPr>
      </w:pP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通过对主权、行政与财政权力的分层设计，该条款构建了“联邦统一、省级协调、市级自治”的三层国家架构，使中华民族联邦共和国既能保持主权统一的战略能力，又能确保地方自治的治理效率。这既是一种制度创新，也是一种治理哲学上的成熟选择。</w:t>
      </w:r>
      <w:r>
        <w:rPr>
          <w:rFonts w:ascii="宋體-簡" w:hAnsi="宋體-簡" w:cs="宋體-簡"/>
          <w:szCs w:val="24"/>
        </w:rPr>
      </w:r>
      <w:r>
        <w:rPr>
          <w:rFonts w:ascii="宋體-簡" w:hAnsi="宋體-簡" w:cs="宋體-簡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宋體-簡" w:hAnsi="宋體-簡" w:cs="宋體-簡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宋體-簡" w:hAnsi="宋體-簡" w:eastAsia="宋體-簡" w:cs="宋體-簡"/>
          <w:b/>
          <w:color w:val="000000"/>
          <w:sz w:val="24"/>
          <w:szCs w:val="24"/>
          <w:highlight w:val="none"/>
        </w:rPr>
      </w:r>
      <w:r>
        <w:rPr>
          <w:rFonts w:ascii="宋體-簡" w:hAnsi="宋體-簡" w:cs="宋體-簡"/>
          <w:b/>
          <w:bCs/>
          <w:color w:val="000000"/>
          <w:sz w:val="24"/>
          <w:szCs w:val="24"/>
          <w:highlight w:val="none"/>
          <w:u w:val="none"/>
        </w:rPr>
      </w:r>
      <w:r>
        <w:rPr>
          <w:rFonts w:ascii="宋體-簡" w:hAnsi="宋體-簡" w:cs="宋體-簡"/>
          <w:b/>
          <w:bCs/>
          <w:color w:val="000000"/>
          <w:sz w:val="24"/>
          <w:szCs w:val="24"/>
          <w:highlight w:val="none"/>
          <w:u w:val="none"/>
        </w:rPr>
      </w:r>
    </w:p>
    <w:sectPr>
      <w:footnotePr/>
      <w:endnotePr/>
      <w:type w:val="nextPage"/>
      <w:pgSz w:h="15840" w:orient="portrait" w:w="12240"/>
      <w:pgMar w:top="1440" w:right="1083" w:bottom="1440" w:left="108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ngti SC">
    <w:panose1 w:val="02010600040101010101"/>
  </w:font>
  <w:font w:name="宋體-簡">
    <w:panose1 w:val="02010600040101010101"/>
  </w:font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F80E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880F2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E77B57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5C6C7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E5E17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1CB4B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483DB7A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FF148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1D8F4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29D17D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2D2DCC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6311A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5C5835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F3D4BEA"/>
    <w:lvl w:ilvl="0">
      <w:isLgl w:val="false"/>
      <w:lvlJc w:val="left"/>
      <w:lvlText w:val="·"/>
      <w:numFmt w:val="bullet"/>
      <w:pPr>
        <w:pBdr/>
        <w:spacing/>
        <w:ind w:hanging="283" w:left="56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55573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C423A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BB121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901EA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18E3E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22847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3632D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EBEA3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15A7A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D8A11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F0F83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9C211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F98A3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C3C97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D8042F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465AB2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6"/>
    <w:next w:val="946"/>
    <w:link w:val="89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2"/>
    <w:basedOn w:val="946"/>
    <w:next w:val="946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46"/>
    <w:next w:val="946"/>
    <w:link w:val="89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6"/>
    <w:next w:val="946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6"/>
    <w:next w:val="946"/>
    <w:link w:val="90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46"/>
    <w:next w:val="946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46"/>
    <w:next w:val="946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6"/>
    <w:next w:val="946"/>
    <w:link w:val="90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6"/>
    <w:next w:val="946"/>
    <w:link w:val="90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 w:default="1">
    <w:name w:val="Default Paragraph Font"/>
    <w:uiPriority w:val="1"/>
    <w:semiHidden/>
    <w:unhideWhenUsed/>
    <w:pPr>
      <w:pBdr/>
      <w:spacing/>
      <w:ind/>
    </w:pPr>
  </w:style>
  <w:style w:type="character" w:styleId="897">
    <w:name w:val="Heading 1 Char"/>
    <w:basedOn w:val="896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8">
    <w:name w:val="Heading 2 Char"/>
    <w:basedOn w:val="896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9">
    <w:name w:val="Heading 3 Char"/>
    <w:basedOn w:val="896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0">
    <w:name w:val="Heading 4 Char"/>
    <w:basedOn w:val="89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1">
    <w:name w:val="Heading 5 Char"/>
    <w:basedOn w:val="89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2">
    <w:name w:val="Heading 6 Char"/>
    <w:basedOn w:val="896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3">
    <w:name w:val="Heading 7 Char"/>
    <w:basedOn w:val="896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4">
    <w:name w:val="Heading 8 Char"/>
    <w:basedOn w:val="89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Heading 9 Char"/>
    <w:basedOn w:val="89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6">
    <w:name w:val="Title"/>
    <w:basedOn w:val="946"/>
    <w:next w:val="946"/>
    <w:link w:val="90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7">
    <w:name w:val="Title Char"/>
    <w:basedOn w:val="896"/>
    <w:link w:val="9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8">
    <w:name w:val="Subtitle"/>
    <w:basedOn w:val="946"/>
    <w:next w:val="946"/>
    <w:link w:val="90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9">
    <w:name w:val="Subtitle Char"/>
    <w:basedOn w:val="896"/>
    <w:link w:val="9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0">
    <w:name w:val="Quote"/>
    <w:basedOn w:val="946"/>
    <w:next w:val="946"/>
    <w:link w:val="9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1">
    <w:name w:val="Quote Char"/>
    <w:basedOn w:val="896"/>
    <w:link w:val="9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3">
    <w:name w:val="Intense Quote"/>
    <w:basedOn w:val="946"/>
    <w:next w:val="946"/>
    <w:link w:val="9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4">
    <w:name w:val="Intense Quote Char"/>
    <w:basedOn w:val="896"/>
    <w:link w:val="9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5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6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918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919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1">
    <w:name w:val="Header"/>
    <w:basedOn w:val="946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Header Char"/>
    <w:basedOn w:val="896"/>
    <w:link w:val="921"/>
    <w:uiPriority w:val="99"/>
    <w:pPr>
      <w:pBdr/>
      <w:spacing/>
      <w:ind/>
    </w:pPr>
  </w:style>
  <w:style w:type="paragraph" w:styleId="923">
    <w:name w:val="Footer"/>
    <w:basedOn w:val="946"/>
    <w:link w:val="92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4">
    <w:name w:val="Footer Char"/>
    <w:basedOn w:val="896"/>
    <w:link w:val="923"/>
    <w:uiPriority w:val="99"/>
    <w:pPr>
      <w:pBdr/>
      <w:spacing/>
      <w:ind/>
    </w:pPr>
  </w:style>
  <w:style w:type="paragraph" w:styleId="925">
    <w:name w:val="Caption"/>
    <w:basedOn w:val="946"/>
    <w:next w:val="9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6">
    <w:name w:val="footnote text"/>
    <w:basedOn w:val="946"/>
    <w:link w:val="9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7">
    <w:name w:val="Footnote Text Char"/>
    <w:basedOn w:val="896"/>
    <w:link w:val="926"/>
    <w:uiPriority w:val="99"/>
    <w:semiHidden/>
    <w:pPr>
      <w:pBdr/>
      <w:spacing/>
      <w:ind/>
    </w:pPr>
    <w:rPr>
      <w:sz w:val="20"/>
      <w:szCs w:val="20"/>
    </w:rPr>
  </w:style>
  <w:style w:type="character" w:styleId="928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929">
    <w:name w:val="endnote text"/>
    <w:basedOn w:val="946"/>
    <w:link w:val="9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0">
    <w:name w:val="Endnote Text Char"/>
    <w:basedOn w:val="896"/>
    <w:link w:val="929"/>
    <w:uiPriority w:val="99"/>
    <w:semiHidden/>
    <w:pPr>
      <w:pBdr/>
      <w:spacing/>
      <w:ind/>
    </w:pPr>
    <w:rPr>
      <w:sz w:val="20"/>
      <w:szCs w:val="20"/>
    </w:rPr>
  </w:style>
  <w:style w:type="character" w:styleId="931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932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3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4">
    <w:name w:val="toc 1"/>
    <w:basedOn w:val="946"/>
    <w:next w:val="946"/>
    <w:uiPriority w:val="39"/>
    <w:unhideWhenUsed/>
    <w:pPr>
      <w:pBdr/>
      <w:spacing w:after="100"/>
      <w:ind/>
    </w:pPr>
  </w:style>
  <w:style w:type="paragraph" w:styleId="935">
    <w:name w:val="toc 2"/>
    <w:basedOn w:val="946"/>
    <w:next w:val="946"/>
    <w:uiPriority w:val="39"/>
    <w:unhideWhenUsed/>
    <w:pPr>
      <w:pBdr/>
      <w:spacing w:after="100"/>
      <w:ind w:left="220"/>
    </w:pPr>
  </w:style>
  <w:style w:type="paragraph" w:styleId="936">
    <w:name w:val="toc 3"/>
    <w:basedOn w:val="946"/>
    <w:next w:val="946"/>
    <w:uiPriority w:val="39"/>
    <w:unhideWhenUsed/>
    <w:pPr>
      <w:pBdr/>
      <w:spacing w:after="100"/>
      <w:ind w:left="440"/>
    </w:pPr>
  </w:style>
  <w:style w:type="paragraph" w:styleId="937">
    <w:name w:val="toc 4"/>
    <w:basedOn w:val="946"/>
    <w:next w:val="946"/>
    <w:uiPriority w:val="39"/>
    <w:unhideWhenUsed/>
    <w:pPr>
      <w:pBdr/>
      <w:spacing w:after="100"/>
      <w:ind w:left="660"/>
    </w:pPr>
  </w:style>
  <w:style w:type="paragraph" w:styleId="938">
    <w:name w:val="toc 5"/>
    <w:basedOn w:val="946"/>
    <w:next w:val="946"/>
    <w:uiPriority w:val="39"/>
    <w:unhideWhenUsed/>
    <w:pPr>
      <w:pBdr/>
      <w:spacing w:after="100"/>
      <w:ind w:left="880"/>
    </w:pPr>
  </w:style>
  <w:style w:type="paragraph" w:styleId="939">
    <w:name w:val="toc 6"/>
    <w:basedOn w:val="946"/>
    <w:next w:val="946"/>
    <w:uiPriority w:val="39"/>
    <w:unhideWhenUsed/>
    <w:pPr>
      <w:pBdr/>
      <w:spacing w:after="100"/>
      <w:ind w:left="1100"/>
    </w:pPr>
  </w:style>
  <w:style w:type="paragraph" w:styleId="940">
    <w:name w:val="toc 7"/>
    <w:basedOn w:val="946"/>
    <w:next w:val="946"/>
    <w:uiPriority w:val="39"/>
    <w:unhideWhenUsed/>
    <w:pPr>
      <w:pBdr/>
      <w:spacing w:after="100"/>
      <w:ind w:left="1320"/>
    </w:pPr>
  </w:style>
  <w:style w:type="paragraph" w:styleId="941">
    <w:name w:val="toc 8"/>
    <w:basedOn w:val="946"/>
    <w:next w:val="946"/>
    <w:uiPriority w:val="39"/>
    <w:unhideWhenUsed/>
    <w:pPr>
      <w:pBdr/>
      <w:spacing w:after="100"/>
      <w:ind w:left="1540"/>
    </w:pPr>
  </w:style>
  <w:style w:type="paragraph" w:styleId="942">
    <w:name w:val="toc 9"/>
    <w:basedOn w:val="946"/>
    <w:next w:val="946"/>
    <w:uiPriority w:val="39"/>
    <w:unhideWhenUsed/>
    <w:pPr>
      <w:pBdr/>
      <w:spacing w:after="100"/>
      <w:ind w:left="1760"/>
    </w:pPr>
  </w:style>
  <w:style w:type="character" w:styleId="943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944">
    <w:name w:val="TOC Heading"/>
    <w:uiPriority w:val="39"/>
    <w:unhideWhenUsed/>
    <w:pPr>
      <w:pBdr/>
      <w:spacing/>
      <w:ind/>
    </w:pPr>
  </w:style>
  <w:style w:type="paragraph" w:styleId="945">
    <w:name w:val="table of figures"/>
    <w:basedOn w:val="946"/>
    <w:next w:val="946"/>
    <w:uiPriority w:val="99"/>
    <w:unhideWhenUsed/>
    <w:pPr>
      <w:pBdr/>
      <w:spacing w:after="0" w:afterAutospacing="0"/>
      <w:ind/>
    </w:pPr>
  </w:style>
  <w:style w:type="paragraph" w:styleId="946" w:default="1">
    <w:name w:val="Normal"/>
    <w:qFormat/>
    <w:pPr>
      <w:pBdr/>
      <w:spacing/>
      <w:ind/>
    </w:pPr>
  </w:style>
  <w:style w:type="table" w:styleId="9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8" w:default="1">
    <w:name w:val="No List"/>
    <w:uiPriority w:val="99"/>
    <w:semiHidden/>
    <w:unhideWhenUsed/>
    <w:pPr>
      <w:pBdr/>
      <w:spacing/>
      <w:ind/>
    </w:pPr>
  </w:style>
  <w:style w:type="paragraph" w:styleId="949">
    <w:name w:val="No Spacing"/>
    <w:basedOn w:val="946"/>
    <w:uiPriority w:val="1"/>
    <w:qFormat/>
    <w:pPr>
      <w:pBdr/>
      <w:spacing w:after="0" w:line="240" w:lineRule="auto"/>
      <w:ind/>
    </w:pPr>
  </w:style>
  <w:style w:type="paragraph" w:styleId="950">
    <w:name w:val="List Paragraph"/>
    <w:basedOn w:val="94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2025-12-16T05:51:56Z</dcterms:modified>
</cp:coreProperties>
</file>