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论中国民主的未来之《五民宪法》详解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  第10篇</w:t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pP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宪法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第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八</w:t>
      </w:r>
      <w:r>
        <w:rPr>
          <w:rFonts w:ascii="宋體-簡" w:hAnsi="宋體-簡" w:eastAsia="宋體-簡" w:cs="宋體-簡"/>
          <w:b/>
          <w:color w:val="000000"/>
          <w:sz w:val="36"/>
          <w:szCs w:val="36"/>
          <w:u w:val="none"/>
        </w:rPr>
        <w:t xml:space="preserve">条：</w:t>
      </w:r>
      <w:r>
        <w:rPr>
          <w:rFonts w:ascii="Songti SC" w:hAnsi="Songti SC" w:eastAsia="Songti SC" w:cs="Songti SC"/>
          <w:b/>
          <w:color w:val="000000"/>
          <w:sz w:val="36"/>
          <w:szCs w:val="36"/>
        </w:rPr>
        <w:t xml:space="preserve">“一府两会三院”的设计逻辑</w:t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  <w:r>
        <w:rPr>
          <w:rFonts w:ascii="宋體-簡" w:hAnsi="宋體-簡" w:cs="宋體-簡"/>
          <w:b/>
          <w:bCs/>
          <w:color w:val="000000"/>
          <w:sz w:val="36"/>
          <w:szCs w:val="36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1922"/>
        </w:tabs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程伟/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 xml:space="preserve">何清风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u w:val="none"/>
        </w:rPr>
        <w:tab/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</w:rPr>
        <w:t xml:space="preserve">摘要：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《五民宪法》并未局限于“三权”，而是以更全面的视野，确立了“一府两会三院”的国家权力格局，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形成“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六权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分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立”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全新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制度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</w:rPr>
        <w:t xml:space="preserve">模式。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这种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结构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设计精神在于：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把权力从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笼统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的政府机构中释放出来，让教育、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、立法、司法与监察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成为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来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行使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，从而形成真正意义上的多元治理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</w:rPr>
        <w:t xml:space="preserve">制衡</w:t>
      </w:r>
      <w:r>
        <w:rPr>
          <w:rFonts w:ascii="宋體-簡" w:hAnsi="宋體-簡" w:eastAsia="宋體-簡" w:cs="宋體-簡"/>
          <w:b/>
          <w:bCs/>
          <w:sz w:val="24"/>
          <w:szCs w:val="24"/>
        </w:rPr>
        <w:t xml:space="preserve">。</w:t>
      </w:r>
      <w:r>
        <w:rPr>
          <w:rFonts w:ascii="宋體-簡" w:hAnsi="宋體-簡" w:eastAsia="宋體-簡" w:cs="宋體-簡"/>
          <w:b/>
          <w:bCs/>
          <w:sz w:val="24"/>
          <w:szCs w:val="24"/>
        </w:rPr>
      </w:r>
      <w:r>
        <w:rPr>
          <w:rFonts w:ascii="宋體-簡" w:hAnsi="宋體-簡" w:cs="宋體-簡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  <w:t xml:space="preserve">引言：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《五民宪法》的第八条，奠定了中华民族联邦共和国国家权力机构的整体架构，即“一府两会三院”。这一设计，是对国家权力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清晰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划分，保证国家治理与公民自治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平衡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7400" cy="456045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7225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687399" cy="4560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7.83pt;height:359.0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一、“一府两会三院”的整体设计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在世界现行宪政体系中，多数国家采取三权分立模式，行政、立法与司法彼此制衡。《五民宪法》并未局限于“三权”，而是以更全面的视野，确立了“一府两会三院”的国家权力格局，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六权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立”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模式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“一府”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：即政府，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互不隶属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“平行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一级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下级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联邦制”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“两会”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：公民教育委员会与公民储备委员会，分别承担教育与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职能。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脱离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让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懂教育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脱离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是为了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防止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干预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真正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实现“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每个人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都能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“三院”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：立法院、司法院与监察院，分别承担立法、司法与监察权力。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立法权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已经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大部分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民主国家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得以验证，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监察权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符合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国情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结构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设计精神在于：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把权力从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笼统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的政府机构中释放出来，让教育、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、立法、司法与监察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成为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机构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来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行使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力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，从而形成真正意义上的多元治理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制衡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44550" cy="430841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9778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44549" cy="4308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2.33pt;height:339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二、“一府”：联邦与自治的平衡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政府作为“一府”，采取联邦政府与自治政府并行的“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平行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制度。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：由国家联邦政府（总统府）与省联邦政府组成。省政府是总统府的派驻机构，因此在行政体系中形成了纵向隶属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关系。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自治政府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：由市政府与镇政府构成，市政府是市级行政区的自治权力机构，而镇政府则由市政府派驻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镇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行政区，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纵向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隶属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两级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关系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right" w:leader="none" w:pos="9360"/>
        </w:tabs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关键在于，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联邦政府与自治政府之间不存在隶属关系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。这种安排意味着，国家权力并非自上而下的“金字塔”统治，而是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纵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横分布的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扁平化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多中心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结构。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right" w:leader="none" w:pos="9360"/>
        </w:tabs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1700" cy="4351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440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801699" cy="435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6.83pt;height:342.62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这种制度强调：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负责国家整体事务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主权、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外交、国防、全国性战略、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统筹协调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负责地方公共事务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，如城市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、社区服务、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保护、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社会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事务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这种并行设计，保证了国家宏观治理与地方公民自治的和谐共存，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使得“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中央集权”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有能力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维护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统一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跨区域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协调，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触角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伸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社会。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使得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因地制宜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满足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治理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需求，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有效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分离势力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0275" cy="43727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125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830274" cy="4372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9.08pt;height:344.31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highlight w:val="none"/>
        </w:rPr>
      </w:r>
      <w:r>
        <w:rPr>
          <w:rFonts w:ascii="Songti SC" w:hAnsi="Songti SC" w:cs="Songti SC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三、“两会”：教育与储备的独立权力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1. 公民教育委员会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教育不是行政的附属，而是独立的国家权力。《五民宪法》设立“公民教育委员会”，其结构包括国家教委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、市教委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和校教委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当中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完全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独立出来，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干预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打着免费教育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旗号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培养“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接班人”，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应该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完全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才能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培养出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独立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人格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Style w:val="909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之间并无隶属关系，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且，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国家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一级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代表着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意志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市教委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作为市级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行政区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教育权机构，拥有真正的教育事务管理权，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代表着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意志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校教委则直接进入学校层面，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实现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更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彻底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教育自治，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并且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教委会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增加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或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监护人，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学校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行使教育权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2. 公民储备委员会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同样不隶属于行政，而由“公民储备委员会”行使。储委会由国家储备委员会、省储备委员会和公民储备银行构成，三者之间没有隶属关系，而是通过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公民储备委员会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联合会议进行协调。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政府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垄断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应该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属于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全体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所有，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民治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核心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理念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每个人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为此，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设立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储备委员会，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全体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授权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发行货币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910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351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四、“三院”：立法、司法与监察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1. 立法院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立法权在《五民宪法》中被进一步分散为联邦立法院与市公民立法委员会。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联邦立法院由国家立法院与省立法院组成，省立法院隶属于国家立法院。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市立法会则是市级立法机构，与联邦立法院之间没有隶属关系。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这种制度强调：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国家立法与地方立法并行而立，互不干涉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。它既保障了全国统一的法律框架，也保留了地方在立法上的独立性和灵活性。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2. 司法院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司法独立是现代宪政的核心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之一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,《五民宪法》设立联邦司法院与市司法院。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联邦司法院分为国家与省两级，省司法院隶属于国家司法院。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市司法院则完全独立于联邦体系，确保地方司法自治。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这种双重司法体系，能够避免司法权的过度集中，确保公民在地方层面就能获得公平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充足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支持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同时，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也能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系统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臃肿，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以及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过程中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缺乏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解释权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等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问题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3. 监察院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监察院作为权力监督机构，具有联邦与市两级。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联邦监察院由国家与省监察院构成，省监察院隶属于国家监察院。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市监察院独立存在，与联邦监察体系并行。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这意味着，即便是最高层级的联邦机关，也可能受到来自市监察院的独立监督，从而形成真正意义上的“全方位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制衡”。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也就是，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检察院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有权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sz w:val="24"/>
          <w:szCs w:val="24"/>
        </w:rPr>
        <w:t xml:space="preserve">地方</w:t>
      </w:r>
      <w:r>
        <w:rPr>
          <w:rFonts w:ascii="Songti SC" w:hAnsi="Songti SC" w:eastAsia="Songti SC" w:cs="Songti SC"/>
          <w:sz w:val="24"/>
          <w:szCs w:val="24"/>
        </w:rPr>
        <w:t xml:space="preserve">自治</w:t>
      </w:r>
      <w:r>
        <w:rPr>
          <w:rFonts w:ascii="Songti SC" w:hAnsi="Songti SC" w:eastAsia="Songti SC" w:cs="Songti SC"/>
          <w:sz w:val="24"/>
          <w:szCs w:val="24"/>
        </w:rPr>
        <w:t xml:space="preserve">公权</w:t>
      </w:r>
      <w:r>
        <w:rPr>
          <w:rFonts w:ascii="Songti SC" w:hAnsi="Songti SC" w:eastAsia="Songti SC" w:cs="Songti SC"/>
          <w:sz w:val="24"/>
          <w:szCs w:val="24"/>
        </w:rPr>
        <w:t xml:space="preserve">机构，</w:t>
      </w:r>
      <w:r>
        <w:rPr>
          <w:rFonts w:ascii="Songti SC" w:hAnsi="Songti SC" w:eastAsia="Songti SC" w:cs="Songti SC"/>
          <w:sz w:val="24"/>
          <w:szCs w:val="24"/>
        </w:rPr>
        <w:t xml:space="preserve">同时，</w:t>
      </w:r>
      <w:r>
        <w:rPr>
          <w:rFonts w:ascii="Songti SC" w:hAnsi="Songti SC" w:eastAsia="Songti SC" w:cs="Songti SC"/>
          <w:sz w:val="24"/>
          <w:szCs w:val="24"/>
        </w:rPr>
        <w:t xml:space="preserve">市</w:t>
      </w:r>
      <w:r>
        <w:rPr>
          <w:rFonts w:ascii="Songti SC" w:hAnsi="Songti SC" w:eastAsia="Songti SC" w:cs="Songti SC"/>
          <w:sz w:val="24"/>
          <w:szCs w:val="24"/>
        </w:rPr>
        <w:t xml:space="preserve">监察院</w:t>
      </w:r>
      <w:r>
        <w:rPr>
          <w:rFonts w:ascii="Songti SC" w:hAnsi="Songti SC" w:eastAsia="Songti SC" w:cs="Songti SC"/>
          <w:sz w:val="24"/>
          <w:szCs w:val="24"/>
        </w:rPr>
        <w:t xml:space="preserve">亦</w:t>
      </w:r>
      <w:r>
        <w:rPr>
          <w:rFonts w:ascii="Songti SC" w:hAnsi="Songti SC" w:eastAsia="Songti SC" w:cs="Songti SC"/>
          <w:sz w:val="24"/>
          <w:szCs w:val="24"/>
        </w:rPr>
        <w:t xml:space="preserve">有权</w:t>
      </w:r>
      <w:r>
        <w:rPr>
          <w:rFonts w:ascii="Songti SC" w:hAnsi="Songti SC" w:eastAsia="Songti SC" w:cs="Songti SC"/>
          <w:sz w:val="24"/>
          <w:szCs w:val="24"/>
        </w:rPr>
        <w:t xml:space="preserve">监督</w:t>
      </w:r>
      <w:r>
        <w:rPr>
          <w:rFonts w:ascii="Songti SC" w:hAnsi="Songti SC" w:eastAsia="Songti SC" w:cs="Songti SC"/>
          <w:sz w:val="24"/>
          <w:szCs w:val="24"/>
        </w:rPr>
        <w:t xml:space="preserve">联邦</w:t>
      </w:r>
      <w:r>
        <w:rPr>
          <w:rFonts w:ascii="Songti SC" w:hAnsi="Songti SC" w:eastAsia="Songti SC" w:cs="Songti SC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sz w:val="24"/>
          <w:szCs w:val="24"/>
        </w:rPr>
        <w:t xml:space="preserve">公权机构</w:t>
      </w:r>
      <w:r>
        <w:rPr>
          <w:rFonts w:ascii="Songti SC" w:hAnsi="Songti SC" w:eastAsia="Songti SC" w:cs="Songti SC"/>
          <w:sz w:val="24"/>
          <w:szCs w:val="24"/>
        </w:rPr>
        <w:t xml:space="preserve">在</w:t>
      </w:r>
      <w:r>
        <w:rPr>
          <w:rFonts w:ascii="Songti SC" w:hAnsi="Songti SC" w:eastAsia="Songti SC" w:cs="Songti SC"/>
          <w:sz w:val="24"/>
          <w:szCs w:val="24"/>
        </w:rPr>
        <w:t xml:space="preserve">所属</w:t>
      </w:r>
      <w:r>
        <w:rPr>
          <w:rFonts w:ascii="Songti SC" w:hAnsi="Songti SC" w:eastAsia="Songti SC" w:cs="Songti SC"/>
          <w:sz w:val="24"/>
          <w:szCs w:val="24"/>
        </w:rPr>
        <w:t xml:space="preserve">区域</w:t>
      </w:r>
      <w:r>
        <w:rPr>
          <w:rFonts w:ascii="Songti SC" w:hAnsi="Songti SC" w:eastAsia="Songti SC" w:cs="Songti SC"/>
          <w:sz w:val="24"/>
          <w:szCs w:val="24"/>
        </w:rPr>
        <w:t xml:space="preserve">内</w:t>
      </w:r>
      <w:r>
        <w:rPr>
          <w:rFonts w:ascii="Songti SC" w:hAnsi="Songti SC" w:eastAsia="Songti SC" w:cs="Songti SC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sz w:val="24"/>
          <w:szCs w:val="24"/>
        </w:rPr>
        <w:t xml:space="preserve">行权</w:t>
      </w:r>
      <w:r>
        <w:rPr>
          <w:rFonts w:ascii="Songti SC" w:hAnsi="Songti SC" w:eastAsia="Songti SC" w:cs="Songti SC"/>
          <w:sz w:val="24"/>
          <w:szCs w:val="24"/>
        </w:rPr>
        <w:t xml:space="preserve">行为</w:t>
      </w:r>
      <w:r>
        <w:rPr>
          <w:rFonts w:ascii="Songti SC" w:hAnsi="Songti SC" w:eastAsia="Songti SC" w:cs="Songti SC"/>
          <w:sz w:val="24"/>
          <w:szCs w:val="24"/>
        </w:rPr>
        <w:t xml:space="preserve">，</w:t>
      </w:r>
      <w:r>
        <w:rPr>
          <w:rFonts w:ascii="Songti SC" w:hAnsi="Songti SC" w:eastAsia="Songti SC" w:cs="Songti SC"/>
          <w:sz w:val="24"/>
          <w:szCs w:val="24"/>
        </w:rPr>
        <w:t xml:space="preserve">以此</w:t>
      </w:r>
      <w:r>
        <w:rPr>
          <w:rFonts w:ascii="Songti SC" w:hAnsi="Songti SC" w:eastAsia="Songti SC" w:cs="Songti SC"/>
          <w:sz w:val="24"/>
          <w:szCs w:val="24"/>
        </w:rPr>
        <w:t xml:space="preserve">形成</w:t>
      </w:r>
      <w:r>
        <w:rPr>
          <w:rFonts w:ascii="Songti SC" w:hAnsi="Songti SC" w:eastAsia="Songti SC" w:cs="Songti SC"/>
          <w:sz w:val="24"/>
          <w:szCs w:val="24"/>
        </w:rPr>
        <w:t xml:space="preserve">双向</w:t>
      </w:r>
      <w:r>
        <w:rPr>
          <w:rFonts w:ascii="Songti SC" w:hAnsi="Songti SC" w:eastAsia="Songti SC" w:cs="Songti SC"/>
          <w:sz w:val="24"/>
          <w:szCs w:val="24"/>
        </w:rPr>
        <w:t xml:space="preserve">权力</w:t>
      </w:r>
      <w:r>
        <w:rPr>
          <w:rFonts w:ascii="Songti SC" w:hAnsi="Songti SC" w:eastAsia="Songti SC" w:cs="Songti SC"/>
          <w:sz w:val="24"/>
          <w:szCs w:val="24"/>
        </w:rPr>
        <w:t xml:space="preserve">制约。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五、权力机关的空间布局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《五民宪法》特别规定了国家权力机构的地理布局：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总统府、国家立法院、国家司法院、国家监察院、国家教委会及国家防务部，设在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中枢省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公民储备委员会设在</w:t>
      </w: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岭南省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这种空间分布的意义在于：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避免国家权力过度集中于一地，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保证政治权力与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金融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铸币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权的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地理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分离。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通过地理分散，防止权力与利益勾连，降低腐败风险。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90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宋體-簡" w:hAnsi="宋體-簡" w:eastAsia="宋體-簡" w:cs="宋體-簡"/>
          <w:sz w:val="24"/>
          <w:szCs w:val="24"/>
          <w:highlight w:val="none"/>
        </w:rPr>
      </w:pP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岭南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省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所属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香港市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拥有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中国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最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开放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金融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市场、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最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完善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金融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制度</w:t>
      </w:r>
      <w:r>
        <w:rPr>
          <w:rFonts w:ascii="宋體-簡" w:hAnsi="宋體-簡" w:eastAsia="宋體-簡" w:cs="宋體-簡"/>
          <w:sz w:val="24"/>
          <w:szCs w:val="24"/>
          <w:highlight w:val="none"/>
        </w:rPr>
        <w:t xml:space="preserve">。</w:t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  <w:r>
        <w:rPr>
          <w:rFonts w:ascii="宋體-簡" w:hAnsi="宋體-簡" w:eastAsia="宋體-簡" w:cs="宋體-簡"/>
          <w:sz w:val="24"/>
          <w:szCs w:val="24"/>
          <w:highlight w:val="none"/>
        </w:rPr>
      </w:r>
    </w:p>
    <w:p>
      <w:pPr>
        <w:pStyle w:val="84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</w:rPr>
        <w:t xml:space="preserve">结语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highlight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    《五民宪法》第八条，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宪法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层面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规定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：权力必须分散，机构必须独立，教育与经济必须脱离行政控制，立法、司法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监察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必须兼顾地方自治。唯有如此，中华民族联邦共和国才能真正成为一个自由、民主、平等与和谐的国家。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这不仅是制度的创新，更是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文明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进程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必然</w:t>
      </w:r>
      <w:r>
        <w:rPr>
          <w:rFonts w:ascii="Songti SC" w:hAnsi="Songti SC" w:eastAsia="Songti SC" w:cs="Songti SC"/>
          <w:color w:val="000000"/>
          <w:sz w:val="24"/>
          <w:szCs w:val="24"/>
        </w:rPr>
        <w:t xml:space="preserve">选择。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right"/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pP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——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“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五民主义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”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奠基人</w:t>
      </w:r>
      <w:r>
        <w:rPr>
          <w:rFonts w:ascii="宋體-簡" w:hAnsi="宋體-簡" w:eastAsia="宋體-簡" w:cs="宋體-簡"/>
          <w:b/>
          <w:bCs/>
          <w:color w:val="000000" w:themeColor="text1"/>
          <w:sz w:val="24"/>
          <w:szCs w:val="24"/>
          <w:lang w:eastAsia="zh-CN"/>
        </w:rPr>
        <w:t xml:space="preserve">、《五民宪法》撰写人何清风，一身正气、两袖清风。</w:t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  <w:szCs w:val="24"/>
          <w:highlight w:val="none"/>
        </w:rPr>
      </w:r>
      <w:r>
        <w:rPr>
          <w:rFonts w:ascii="宋體-簡" w:hAnsi="宋體-簡" w:cs="宋體-簡"/>
          <w:b/>
          <w:bCs/>
          <w:color w:val="000000" w:themeColor="text1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宋體-簡">
    <w:panose1 w:val="02010600040101010101"/>
  </w:font>
  <w:font w:name="Times">
    <w:panose1 w:val="00000500000000020000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" w:hAnsi="Times" w:eastAsia="Times" w:cs="Times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21">
    <w:name w:val="Table Grid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7">
    <w:name w:val="Heading 1"/>
    <w:basedOn w:val="905"/>
    <w:next w:val="905"/>
    <w:link w:val="85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8">
    <w:name w:val="Heading 2"/>
    <w:basedOn w:val="905"/>
    <w:next w:val="905"/>
    <w:link w:val="85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9">
    <w:name w:val="Heading 3"/>
    <w:basedOn w:val="905"/>
    <w:next w:val="905"/>
    <w:link w:val="85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50">
    <w:name w:val="Heading 4"/>
    <w:basedOn w:val="905"/>
    <w:next w:val="905"/>
    <w:link w:val="86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51">
    <w:name w:val="Heading 5"/>
    <w:basedOn w:val="905"/>
    <w:next w:val="905"/>
    <w:link w:val="86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52">
    <w:name w:val="Heading 6"/>
    <w:basedOn w:val="905"/>
    <w:next w:val="905"/>
    <w:link w:val="86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3">
    <w:name w:val="Heading 7"/>
    <w:basedOn w:val="905"/>
    <w:next w:val="905"/>
    <w:link w:val="86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4">
    <w:name w:val="Heading 8"/>
    <w:basedOn w:val="905"/>
    <w:next w:val="905"/>
    <w:link w:val="86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5">
    <w:name w:val="Heading 9"/>
    <w:basedOn w:val="905"/>
    <w:next w:val="905"/>
    <w:link w:val="86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6" w:default="1">
    <w:name w:val="Default Paragraph Font"/>
    <w:uiPriority w:val="1"/>
    <w:semiHidden/>
    <w:unhideWhenUsed/>
    <w:pPr>
      <w:pBdr/>
      <w:spacing/>
      <w:ind/>
    </w:pPr>
  </w:style>
  <w:style w:type="character" w:styleId="857">
    <w:name w:val="Heading 1 Char"/>
    <w:basedOn w:val="856"/>
    <w:link w:val="84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8">
    <w:name w:val="Heading 2 Char"/>
    <w:basedOn w:val="856"/>
    <w:link w:val="8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9">
    <w:name w:val="Heading 3 Char"/>
    <w:basedOn w:val="856"/>
    <w:link w:val="8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0">
    <w:name w:val="Heading 4 Char"/>
    <w:basedOn w:val="856"/>
    <w:link w:val="85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1">
    <w:name w:val="Heading 5 Char"/>
    <w:basedOn w:val="856"/>
    <w:link w:val="85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2">
    <w:name w:val="Heading 6 Char"/>
    <w:basedOn w:val="856"/>
    <w:link w:val="85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3">
    <w:name w:val="Heading 7 Char"/>
    <w:basedOn w:val="856"/>
    <w:link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4">
    <w:name w:val="Heading 8 Char"/>
    <w:basedOn w:val="856"/>
    <w:link w:val="8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5">
    <w:name w:val="Heading 9 Char"/>
    <w:basedOn w:val="856"/>
    <w:link w:val="85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6">
    <w:name w:val="Title"/>
    <w:basedOn w:val="905"/>
    <w:next w:val="905"/>
    <w:link w:val="86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7">
    <w:name w:val="Title Char"/>
    <w:basedOn w:val="856"/>
    <w:link w:val="86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8">
    <w:name w:val="Subtitle"/>
    <w:basedOn w:val="905"/>
    <w:next w:val="905"/>
    <w:link w:val="86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9">
    <w:name w:val="Subtitle Char"/>
    <w:basedOn w:val="856"/>
    <w:link w:val="86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0">
    <w:name w:val="Quote"/>
    <w:basedOn w:val="905"/>
    <w:next w:val="905"/>
    <w:link w:val="87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1">
    <w:name w:val="Quote Char"/>
    <w:basedOn w:val="856"/>
    <w:link w:val="87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2">
    <w:name w:val="Intense Emphasis"/>
    <w:basedOn w:val="85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73">
    <w:name w:val="Intense Quote"/>
    <w:basedOn w:val="905"/>
    <w:next w:val="905"/>
    <w:link w:val="87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4">
    <w:name w:val="Intense Quote Char"/>
    <w:basedOn w:val="856"/>
    <w:link w:val="87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5">
    <w:name w:val="Intense Reference"/>
    <w:basedOn w:val="85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76">
    <w:name w:val="Subtle Emphasis"/>
    <w:basedOn w:val="85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7">
    <w:name w:val="Emphasis"/>
    <w:basedOn w:val="856"/>
    <w:uiPriority w:val="20"/>
    <w:qFormat/>
    <w:pPr>
      <w:pBdr/>
      <w:spacing/>
      <w:ind/>
    </w:pPr>
    <w:rPr>
      <w:i/>
      <w:iCs/>
    </w:rPr>
  </w:style>
  <w:style w:type="character" w:styleId="878">
    <w:name w:val="Strong"/>
    <w:basedOn w:val="856"/>
    <w:uiPriority w:val="22"/>
    <w:qFormat/>
    <w:pPr>
      <w:pBdr/>
      <w:spacing/>
      <w:ind/>
    </w:pPr>
    <w:rPr>
      <w:b/>
      <w:bCs/>
    </w:rPr>
  </w:style>
  <w:style w:type="character" w:styleId="879">
    <w:name w:val="Subtle Reference"/>
    <w:basedOn w:val="85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0">
    <w:name w:val="Book Title"/>
    <w:basedOn w:val="85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1">
    <w:name w:val="Header"/>
    <w:basedOn w:val="905"/>
    <w:link w:val="88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2">
    <w:name w:val="Header Char"/>
    <w:basedOn w:val="856"/>
    <w:link w:val="881"/>
    <w:uiPriority w:val="99"/>
    <w:pPr>
      <w:pBdr/>
      <w:spacing/>
      <w:ind/>
    </w:pPr>
  </w:style>
  <w:style w:type="paragraph" w:styleId="883">
    <w:name w:val="Footer"/>
    <w:basedOn w:val="905"/>
    <w:link w:val="88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4">
    <w:name w:val="Footer Char"/>
    <w:basedOn w:val="856"/>
    <w:link w:val="883"/>
    <w:uiPriority w:val="99"/>
    <w:pPr>
      <w:pBdr/>
      <w:spacing/>
      <w:ind/>
    </w:pPr>
  </w:style>
  <w:style w:type="paragraph" w:styleId="885">
    <w:name w:val="Caption"/>
    <w:basedOn w:val="905"/>
    <w:next w:val="90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86">
    <w:name w:val="footnote text"/>
    <w:basedOn w:val="905"/>
    <w:link w:val="88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7">
    <w:name w:val="Footnote Text Char"/>
    <w:basedOn w:val="856"/>
    <w:link w:val="886"/>
    <w:uiPriority w:val="99"/>
    <w:semiHidden/>
    <w:pPr>
      <w:pBdr/>
      <w:spacing/>
      <w:ind/>
    </w:pPr>
    <w:rPr>
      <w:sz w:val="20"/>
      <w:szCs w:val="20"/>
    </w:rPr>
  </w:style>
  <w:style w:type="character" w:styleId="888">
    <w:name w:val="foot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889">
    <w:name w:val="endnote text"/>
    <w:basedOn w:val="905"/>
    <w:link w:val="89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0">
    <w:name w:val="Endnote Text Char"/>
    <w:basedOn w:val="856"/>
    <w:link w:val="889"/>
    <w:uiPriority w:val="99"/>
    <w:semiHidden/>
    <w:pPr>
      <w:pBdr/>
      <w:spacing/>
      <w:ind/>
    </w:pPr>
    <w:rPr>
      <w:sz w:val="20"/>
      <w:szCs w:val="20"/>
    </w:rPr>
  </w:style>
  <w:style w:type="character" w:styleId="891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character" w:styleId="892">
    <w:name w:val="Hyperlink"/>
    <w:basedOn w:val="85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93">
    <w:name w:val="FollowedHyperlink"/>
    <w:basedOn w:val="85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94">
    <w:name w:val="toc 1"/>
    <w:basedOn w:val="905"/>
    <w:next w:val="905"/>
    <w:uiPriority w:val="39"/>
    <w:unhideWhenUsed/>
    <w:pPr>
      <w:pBdr/>
      <w:spacing w:after="100"/>
      <w:ind/>
    </w:pPr>
  </w:style>
  <w:style w:type="paragraph" w:styleId="895">
    <w:name w:val="toc 2"/>
    <w:basedOn w:val="905"/>
    <w:next w:val="905"/>
    <w:uiPriority w:val="39"/>
    <w:unhideWhenUsed/>
    <w:pPr>
      <w:pBdr/>
      <w:spacing w:after="100"/>
      <w:ind w:left="220"/>
    </w:pPr>
  </w:style>
  <w:style w:type="paragraph" w:styleId="896">
    <w:name w:val="toc 3"/>
    <w:basedOn w:val="905"/>
    <w:next w:val="905"/>
    <w:uiPriority w:val="39"/>
    <w:unhideWhenUsed/>
    <w:pPr>
      <w:pBdr/>
      <w:spacing w:after="100"/>
      <w:ind w:left="440"/>
    </w:pPr>
  </w:style>
  <w:style w:type="paragraph" w:styleId="897">
    <w:name w:val="toc 4"/>
    <w:basedOn w:val="905"/>
    <w:next w:val="905"/>
    <w:uiPriority w:val="39"/>
    <w:unhideWhenUsed/>
    <w:pPr>
      <w:pBdr/>
      <w:spacing w:after="100"/>
      <w:ind w:left="660"/>
    </w:pPr>
  </w:style>
  <w:style w:type="paragraph" w:styleId="898">
    <w:name w:val="toc 5"/>
    <w:basedOn w:val="905"/>
    <w:next w:val="905"/>
    <w:uiPriority w:val="39"/>
    <w:unhideWhenUsed/>
    <w:pPr>
      <w:pBdr/>
      <w:spacing w:after="100"/>
      <w:ind w:left="880"/>
    </w:pPr>
  </w:style>
  <w:style w:type="paragraph" w:styleId="899">
    <w:name w:val="toc 6"/>
    <w:basedOn w:val="905"/>
    <w:next w:val="905"/>
    <w:uiPriority w:val="39"/>
    <w:unhideWhenUsed/>
    <w:pPr>
      <w:pBdr/>
      <w:spacing w:after="100"/>
      <w:ind w:left="1100"/>
    </w:pPr>
  </w:style>
  <w:style w:type="paragraph" w:styleId="900">
    <w:name w:val="toc 7"/>
    <w:basedOn w:val="905"/>
    <w:next w:val="905"/>
    <w:uiPriority w:val="39"/>
    <w:unhideWhenUsed/>
    <w:pPr>
      <w:pBdr/>
      <w:spacing w:after="100"/>
      <w:ind w:left="1320"/>
    </w:pPr>
  </w:style>
  <w:style w:type="paragraph" w:styleId="901">
    <w:name w:val="toc 8"/>
    <w:basedOn w:val="905"/>
    <w:next w:val="905"/>
    <w:uiPriority w:val="39"/>
    <w:unhideWhenUsed/>
    <w:pPr>
      <w:pBdr/>
      <w:spacing w:after="100"/>
      <w:ind w:left="1540"/>
    </w:pPr>
  </w:style>
  <w:style w:type="paragraph" w:styleId="902">
    <w:name w:val="toc 9"/>
    <w:basedOn w:val="905"/>
    <w:next w:val="905"/>
    <w:uiPriority w:val="39"/>
    <w:unhideWhenUsed/>
    <w:pPr>
      <w:pBdr/>
      <w:spacing w:after="100"/>
      <w:ind w:left="1760"/>
    </w:pPr>
  </w:style>
  <w:style w:type="paragraph" w:styleId="903">
    <w:name w:val="TOC Heading"/>
    <w:uiPriority w:val="39"/>
    <w:unhideWhenUsed/>
    <w:pPr>
      <w:pBdr/>
      <w:spacing/>
      <w:ind/>
    </w:pPr>
  </w:style>
  <w:style w:type="paragraph" w:styleId="904">
    <w:name w:val="table of figures"/>
    <w:basedOn w:val="905"/>
    <w:next w:val="905"/>
    <w:uiPriority w:val="99"/>
    <w:unhideWhenUsed/>
    <w:pPr>
      <w:pBdr/>
      <w:spacing w:after="0" w:afterAutospacing="0"/>
      <w:ind/>
    </w:pPr>
  </w:style>
  <w:style w:type="paragraph" w:styleId="905" w:default="1">
    <w:name w:val="Normal"/>
    <w:qFormat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paragraph" w:styleId="908">
    <w:name w:val="No Spacing"/>
    <w:basedOn w:val="905"/>
    <w:uiPriority w:val="1"/>
    <w:qFormat/>
    <w:pPr>
      <w:pBdr/>
      <w:spacing w:after="0" w:line="240" w:lineRule="auto"/>
      <w:ind/>
    </w:pPr>
  </w:style>
  <w:style w:type="paragraph" w:styleId="909">
    <w:name w:val="List Paragraph"/>
    <w:basedOn w:val="90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2025-09-22T04:36:20Z</dcterms:modified>
</cp:coreProperties>
</file>