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论中国民主的未来之《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宪法》详解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  第10篇</w:t>
      </w:r>
      <w:r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第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八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条：</w:t>
      </w:r>
      <w:r>
        <w:rPr>
          <w:rFonts w:ascii="Songti SC" w:hAnsi="Songti SC" w:eastAsia="Songti SC" w:cs="Songti SC"/>
          <w:b/>
          <w:color w:val="000000"/>
          <w:sz w:val="36"/>
          <w:szCs w:val="36"/>
        </w:rPr>
        <w:t xml:space="preserve">“一府两会三院”的设计逻辑</w:t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922"/>
        </w:tabs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程伟/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何清风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ab/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</w:rPr>
        <w:t xml:space="preserve">摘要：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《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宪法》并未局限于“三权”，而是以更全面的视野，确立了“一府两会三院”的国家权力格局，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形成“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六权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分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立”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全新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制度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模式。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这种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结构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设计精神在于：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把权力从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笼统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的政府机构中释放出来，让教育、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金融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、立法、司法与监察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成为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机构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来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行使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力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，从而形成真正意义上的多元治理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分散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制衡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。</w:t>
      </w:r>
      <w:r>
        <w:rPr>
          <w:rFonts w:ascii="宋體-簡" w:hAnsi="宋體-簡" w:cs="宋體-簡"/>
          <w:b/>
          <w:bCs/>
          <w:sz w:val="24"/>
          <w:szCs w:val="24"/>
        </w:rPr>
      </w:r>
      <w:r>
        <w:rPr>
          <w:rFonts w:ascii="宋體-簡" w:hAnsi="宋體-簡" w:cs="宋體-簡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  <w:t xml:space="preserve">引言：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宪法》的第八条，奠定了中华民族联邦共和国国家权力机构的整体架构，即“一府两会三院”。这一设计，是对国家权力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机构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清晰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划分，保证国家治理与公民自治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之间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平衡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7400" cy="45604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72253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687399" cy="4560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7.83pt;height:359.0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一、“一府两会三院”的整体设计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在世界现行宪政体系中，多数国家采取三权分立模式，行政、立法与司法彼此制衡。《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宪法》并未局限于“三权”，而是以更全面的视野，确立了“一府两会三院”的国家权力格局，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六权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立”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全新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模式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“一府”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：即政府，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互不隶属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“平行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一级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下级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二二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联邦制”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“两会”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：公民教育委员会与公民储备委员会，分别承担教育与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项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职能。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脱离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为了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让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懂教育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脱离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是为了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防止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干预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真正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实现“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每个人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都能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“三院”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：立法院、司法院与监察院，分别承担立法、司法与监察权力。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立法权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已经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大部分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民主国家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得以验证，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监察权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更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符合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中国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国情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结构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设计精神在于：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把权力从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笼统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的政府机构中释放出来，让教育、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金融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、立法、司法与监察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成为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机构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来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行使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力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，从而形成真正意义上的多元治理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分散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制衡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4550" cy="430841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778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744549" cy="4308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2.33pt;height:339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</w:rPr>
      </w:r>
      <w:r>
        <w:rPr>
          <w:rFonts w:ascii="Songti SC" w:hAnsi="Songti SC" w:cs="Songti SC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二、“一府”：联邦与自治的平衡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政府作为“一府”，采取联邦政府与自治政府并行的“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平行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制度。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联邦政府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：由国家联邦政府（总统府）与省联邦政府组成。省政府是总统府的派驻机构，因此在行政体系中形成了纵向隶属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关系。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自治政府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：由市政府与镇政府构成，市政府是市级行政区的自治权力机构，而镇政府则由市政府派驻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镇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行政区，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纵向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关系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right" w:leader="none" w:pos="9360"/>
        </w:tabs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关键在于，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联邦政府与自治政府之间不存在隶属关系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。这种安排意味着，国家权力并非自上而下的“金字塔”统治，而是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纵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横分布的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扁平化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多中心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结构。</w: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right" w:leader="none" w:pos="9360"/>
        </w:tabs>
        <w:spacing/>
        <w:ind w:right="0" w:firstLine="0" w:lef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1700" cy="4351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440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801699" cy="435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6.83pt;height:342.62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</w:rPr>
      </w:r>
      <w:r>
        <w:rPr>
          <w:rFonts w:ascii="Songti SC" w:hAnsi="Songti SC" w:cs="Songti SC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这种制度强调：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负责国家整体事务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主权、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外交、国防、全国性战略、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统筹协调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负责地方公共事务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，如城市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治理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、社区服务、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保护、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社会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这种并行设计，保证了国家宏观治理与地方公民自治的和谐共存，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使得“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中央集权”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有能力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维护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统一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跨区域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协调，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触角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过度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伸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社会。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使得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分散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治理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因地制宜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满足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不同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治理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需求，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不能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分离势力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0275" cy="43727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125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830274" cy="4372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9.08pt;height:344.31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三、“两会”：教育与储备的独立权力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1. 公民教育委员会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教育不是行政的附属，而是独立的国家权力。《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宪法》设立“公民教育委员会”，其结构包括国家教委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、市教委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和校教委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当中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完全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独立出来，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行政权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干预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打着免费教育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旗号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培养“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接班人”，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应该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完全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才能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培养出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人格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Style w:val="909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与市教委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之间并无隶属关系，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且，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教委会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一级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教委会，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代表着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意志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90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作为市级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行政区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教育权机构，拥有真正的教育事务管理权，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代表着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地方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意志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校教委则直接进入学校层面，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实现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更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彻底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教育自治，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并且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教委会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增加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学生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或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学生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监护人，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监督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学校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行使教育权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2. 公民储备委员会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同样不隶属于行政，而由“公民储备委员会”行使。储委会由国家储备委员会、省储备委员会和公民储备银行构成，三者之间没有隶属关系，而是通过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公民储备委员会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联合会议进行协调。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垄断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铸币权，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应该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属于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全体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所有，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民治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核心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理念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每个人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为此，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设立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储备委员会，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全体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授权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9910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351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</w:rPr>
      </w:r>
      <w:r>
        <w:rPr>
          <w:rFonts w:ascii="Songti SC" w:hAnsi="Songti SC" w:cs="Songti SC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四、“三院”：立法、司法与监察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1. 立法院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立法权在《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宪法》中被进一步分散为联邦立法院与市公民立法委员会。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联邦立法院由国家立法院与省立法院组成，省立法院隶属于国家立法院。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市立法会则是市级立法机构，与联邦立法院之间没有隶属关系。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这种制度强调：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国家立法与地方立法并行而立，互不干涉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。它既保障了全国统一的法律框架，也保留了地方在立法上的独立性和灵活性。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2. 司法院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司法独立是现代宪政的核心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,《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宪法》设立联邦司法院与市司法院。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联邦司法院分为国家与省两级，省司法院隶属于国家司法院。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市司法院则完全独立于联邦体系，确保地方司法自治。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这种双重司法体系，能够避免司法权的过度集中，确保公民在地方层面就能获得公平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充足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支持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同时，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也能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系统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过于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臃肿，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地方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过程中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缺乏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解释权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问题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3. 监察院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监察院作为权力监督机构，具有联邦与市两级。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联邦监察院由国家与省监察院构成，省监察院隶属于国家监察院。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市监察院独立存在，与联邦监察体系并行。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这意味着，即便是最高层级的联邦机关，也可能受到来自市监察院的独立监督，从而形成真正意义上的“全方位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制衡”。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也就是，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检察院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监督</w:t>
      </w:r>
      <w:r>
        <w:rPr>
          <w:rFonts w:ascii="Songti SC" w:hAnsi="Songti SC" w:eastAsia="Songti SC" w:cs="Songti SC"/>
          <w:sz w:val="24"/>
          <w:szCs w:val="24"/>
        </w:rPr>
        <w:t xml:space="preserve">地方</w:t>
      </w:r>
      <w:r>
        <w:rPr>
          <w:rFonts w:ascii="Songti SC" w:hAnsi="Songti SC" w:eastAsia="Songti SC" w:cs="Songti SC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sz w:val="24"/>
          <w:szCs w:val="24"/>
        </w:rPr>
        <w:t xml:space="preserve">机构，</w:t>
      </w:r>
      <w:r>
        <w:rPr>
          <w:rFonts w:ascii="Songti SC" w:hAnsi="Songti SC" w:eastAsia="Songti SC" w:cs="Songti SC"/>
          <w:sz w:val="24"/>
          <w:szCs w:val="24"/>
        </w:rPr>
        <w:t xml:space="preserve">同时，</w:t>
      </w:r>
      <w:r>
        <w:rPr>
          <w:rFonts w:ascii="Songti SC" w:hAnsi="Songti SC" w:eastAsia="Songti SC" w:cs="Songti SC"/>
          <w:sz w:val="24"/>
          <w:szCs w:val="24"/>
        </w:rPr>
        <w:t xml:space="preserve">市</w:t>
      </w:r>
      <w:r>
        <w:rPr>
          <w:rFonts w:ascii="Songti SC" w:hAnsi="Songti SC" w:eastAsia="Songti SC" w:cs="Songti SC"/>
          <w:sz w:val="24"/>
          <w:szCs w:val="24"/>
        </w:rPr>
        <w:t xml:space="preserve">监察院</w:t>
      </w:r>
      <w:r>
        <w:rPr>
          <w:rFonts w:ascii="Songti SC" w:hAnsi="Songti SC" w:eastAsia="Songti SC" w:cs="Songti SC"/>
          <w:sz w:val="24"/>
          <w:szCs w:val="24"/>
        </w:rPr>
        <w:t xml:space="preserve">亦</w:t>
      </w:r>
      <w:r>
        <w:rPr>
          <w:rFonts w:ascii="Songti SC" w:hAnsi="Songti SC" w:eastAsia="Songti SC" w:cs="Songti SC"/>
          <w:sz w:val="24"/>
          <w:szCs w:val="24"/>
        </w:rPr>
        <w:t xml:space="preserve">有权</w:t>
      </w:r>
      <w:r>
        <w:rPr>
          <w:rFonts w:ascii="Songti SC" w:hAnsi="Songti SC" w:eastAsia="Songti SC" w:cs="Songti SC"/>
          <w:sz w:val="24"/>
          <w:szCs w:val="24"/>
        </w:rPr>
        <w:t xml:space="preserve">监督</w:t>
      </w:r>
      <w:r>
        <w:rPr>
          <w:rFonts w:ascii="Songti SC" w:hAnsi="Songti SC" w:eastAsia="Songti SC" w:cs="Songti SC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sz w:val="24"/>
          <w:szCs w:val="24"/>
        </w:rPr>
        <w:t xml:space="preserve">层面</w:t>
      </w:r>
      <w:r>
        <w:rPr>
          <w:rFonts w:ascii="Songti SC" w:hAnsi="Songti SC" w:eastAsia="Songti SC" w:cs="Songti SC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sz w:val="24"/>
          <w:szCs w:val="24"/>
        </w:rPr>
        <w:t xml:space="preserve">公权机构</w:t>
      </w:r>
      <w:r>
        <w:rPr>
          <w:rFonts w:ascii="Songti SC" w:hAnsi="Songti SC" w:eastAsia="Songti SC" w:cs="Songti SC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sz w:val="24"/>
          <w:szCs w:val="24"/>
        </w:rPr>
        <w:t xml:space="preserve">所属</w:t>
      </w:r>
      <w:r>
        <w:rPr>
          <w:rFonts w:ascii="Songti SC" w:hAnsi="Songti SC" w:eastAsia="Songti SC" w:cs="Songti SC"/>
          <w:sz w:val="24"/>
          <w:szCs w:val="24"/>
        </w:rPr>
        <w:t xml:space="preserve">区域</w:t>
      </w:r>
      <w:r>
        <w:rPr>
          <w:rFonts w:ascii="Songti SC" w:hAnsi="Songti SC" w:eastAsia="Songti SC" w:cs="Songti SC"/>
          <w:sz w:val="24"/>
          <w:szCs w:val="24"/>
        </w:rPr>
        <w:t xml:space="preserve">内</w:t>
      </w:r>
      <w:r>
        <w:rPr>
          <w:rFonts w:ascii="Songti SC" w:hAnsi="Songti SC" w:eastAsia="Songti SC" w:cs="Songti SC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sz w:val="24"/>
          <w:szCs w:val="24"/>
        </w:rPr>
        <w:t xml:space="preserve">行权</w:t>
      </w:r>
      <w:r>
        <w:rPr>
          <w:rFonts w:ascii="Songti SC" w:hAnsi="Songti SC" w:eastAsia="Songti SC" w:cs="Songti SC"/>
          <w:sz w:val="24"/>
          <w:szCs w:val="24"/>
        </w:rPr>
        <w:t xml:space="preserve">行为</w:t>
      </w:r>
      <w:r>
        <w:rPr>
          <w:rFonts w:ascii="Songti SC" w:hAnsi="Songti SC" w:eastAsia="Songti SC" w:cs="Songti SC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sz w:val="24"/>
          <w:szCs w:val="24"/>
        </w:rPr>
        <w:t xml:space="preserve">形成</w:t>
      </w:r>
      <w:r>
        <w:rPr>
          <w:rFonts w:ascii="Songti SC" w:hAnsi="Songti SC" w:eastAsia="Songti SC" w:cs="Songti SC"/>
          <w:sz w:val="24"/>
          <w:szCs w:val="24"/>
        </w:rPr>
        <w:t xml:space="preserve">双向</w:t>
      </w:r>
      <w:r>
        <w:rPr>
          <w:rFonts w:ascii="Songti SC" w:hAnsi="Songti SC" w:eastAsia="Songti SC" w:cs="Songti SC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sz w:val="24"/>
          <w:szCs w:val="24"/>
        </w:rPr>
        <w:t xml:space="preserve">制约。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五、权力机关的空间布局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宪法》特别规定了国家权力机构的地理布局：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总统府、国家立法院、国家司法院、国家监察院、国家教委会及国家防务部，设在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中枢省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公民储备委员会设在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岭南省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这种空间分布的意义在于：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避免国家权力过度集中于一地，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保证政治权力与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金融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通过地理分散，防止权力与利益勾连，降低腐败风险。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宋體-簡" w:hAnsi="宋體-簡" w:eastAsia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岭南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省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所属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香港市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拥有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中国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最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开放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金融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市场、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最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完善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金融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制度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结语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宪法》第八条，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规定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：权力必须分散，机构必须独立，教育与经济必须脱离行政控制，立法、司法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必须兼顾地方自治。唯有如此，中华民族联邦共和国才能真正成为一个自由、民主、平等与和谐的国家。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这不仅是制度的创新，更是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文明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进程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必然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选择。</w: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right"/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——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《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公民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宪法》撰写人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程伟/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何清风，一身正气、两袖清风。</w:t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ngti SC">
    <w:panose1 w:val="02010600040101010101"/>
  </w:font>
  <w:font w:name="宋體-簡">
    <w:panose1 w:val="02010600040101010101"/>
  </w:font>
  <w:font w:name="Times">
    <w:panose1 w:val="00000500000000020000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1">
    <w:name w:val="Table Grid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7">
    <w:name w:val="Heading 1"/>
    <w:basedOn w:val="905"/>
    <w:next w:val="905"/>
    <w:link w:val="85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8">
    <w:name w:val="Heading 2"/>
    <w:basedOn w:val="905"/>
    <w:next w:val="905"/>
    <w:link w:val="85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9">
    <w:name w:val="Heading 3"/>
    <w:basedOn w:val="905"/>
    <w:next w:val="905"/>
    <w:link w:val="85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50">
    <w:name w:val="Heading 4"/>
    <w:basedOn w:val="905"/>
    <w:next w:val="905"/>
    <w:link w:val="86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51">
    <w:name w:val="Heading 5"/>
    <w:basedOn w:val="905"/>
    <w:next w:val="905"/>
    <w:link w:val="86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2">
    <w:name w:val="Heading 6"/>
    <w:basedOn w:val="905"/>
    <w:next w:val="905"/>
    <w:link w:val="86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3">
    <w:name w:val="Heading 7"/>
    <w:basedOn w:val="905"/>
    <w:next w:val="905"/>
    <w:link w:val="86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4">
    <w:name w:val="Heading 8"/>
    <w:basedOn w:val="905"/>
    <w:next w:val="905"/>
    <w:link w:val="86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5">
    <w:name w:val="Heading 9"/>
    <w:basedOn w:val="905"/>
    <w:next w:val="905"/>
    <w:link w:val="86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6" w:default="1">
    <w:name w:val="Default Paragraph Font"/>
    <w:uiPriority w:val="1"/>
    <w:semiHidden/>
    <w:unhideWhenUsed/>
    <w:pPr>
      <w:pBdr/>
      <w:spacing/>
      <w:ind/>
    </w:pPr>
  </w:style>
  <w:style w:type="character" w:styleId="857">
    <w:name w:val="Heading 1 Char"/>
    <w:basedOn w:val="856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8">
    <w:name w:val="Heading 2 Char"/>
    <w:basedOn w:val="856"/>
    <w:link w:val="8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9">
    <w:name w:val="Heading 3 Char"/>
    <w:basedOn w:val="856"/>
    <w:link w:val="8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60">
    <w:name w:val="Heading 4 Char"/>
    <w:basedOn w:val="856"/>
    <w:link w:val="85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1">
    <w:name w:val="Heading 5 Char"/>
    <w:basedOn w:val="856"/>
    <w:link w:val="85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2">
    <w:name w:val="Heading 6 Char"/>
    <w:basedOn w:val="856"/>
    <w:link w:val="85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3">
    <w:name w:val="Heading 7 Char"/>
    <w:basedOn w:val="856"/>
    <w:link w:val="85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4">
    <w:name w:val="Heading 8 Char"/>
    <w:basedOn w:val="856"/>
    <w:link w:val="85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5">
    <w:name w:val="Heading 9 Char"/>
    <w:basedOn w:val="856"/>
    <w:link w:val="85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6">
    <w:name w:val="Title"/>
    <w:basedOn w:val="905"/>
    <w:next w:val="905"/>
    <w:link w:val="86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7">
    <w:name w:val="Title Char"/>
    <w:basedOn w:val="856"/>
    <w:link w:val="86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8">
    <w:name w:val="Subtitle"/>
    <w:basedOn w:val="905"/>
    <w:next w:val="905"/>
    <w:link w:val="86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9">
    <w:name w:val="Subtitle Char"/>
    <w:basedOn w:val="856"/>
    <w:link w:val="86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0">
    <w:name w:val="Quote"/>
    <w:basedOn w:val="905"/>
    <w:next w:val="905"/>
    <w:link w:val="87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71">
    <w:name w:val="Quote Char"/>
    <w:basedOn w:val="856"/>
    <w:link w:val="87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2">
    <w:name w:val="Intense Emphasis"/>
    <w:basedOn w:val="85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3">
    <w:name w:val="Intense Quote"/>
    <w:basedOn w:val="905"/>
    <w:next w:val="905"/>
    <w:link w:val="87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4">
    <w:name w:val="Intense Quote Char"/>
    <w:basedOn w:val="856"/>
    <w:link w:val="87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5">
    <w:name w:val="Intense Reference"/>
    <w:basedOn w:val="85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76">
    <w:name w:val="Subtle Emphasis"/>
    <w:basedOn w:val="85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7">
    <w:name w:val="Emphasis"/>
    <w:basedOn w:val="856"/>
    <w:uiPriority w:val="20"/>
    <w:qFormat/>
    <w:pPr>
      <w:pBdr/>
      <w:spacing/>
      <w:ind/>
    </w:pPr>
    <w:rPr>
      <w:i/>
      <w:iCs/>
    </w:rPr>
  </w:style>
  <w:style w:type="character" w:styleId="878">
    <w:name w:val="Strong"/>
    <w:basedOn w:val="856"/>
    <w:uiPriority w:val="22"/>
    <w:qFormat/>
    <w:pPr>
      <w:pBdr/>
      <w:spacing/>
      <w:ind/>
    </w:pPr>
    <w:rPr>
      <w:b/>
      <w:bCs/>
    </w:rPr>
  </w:style>
  <w:style w:type="character" w:styleId="879">
    <w:name w:val="Subtle Reference"/>
    <w:basedOn w:val="85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0">
    <w:name w:val="Book Title"/>
    <w:basedOn w:val="85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81">
    <w:name w:val="Header"/>
    <w:basedOn w:val="905"/>
    <w:link w:val="8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2">
    <w:name w:val="Header Char"/>
    <w:basedOn w:val="856"/>
    <w:link w:val="881"/>
    <w:uiPriority w:val="99"/>
    <w:pPr>
      <w:pBdr/>
      <w:spacing/>
      <w:ind/>
    </w:pPr>
  </w:style>
  <w:style w:type="paragraph" w:styleId="883">
    <w:name w:val="Footer"/>
    <w:basedOn w:val="905"/>
    <w:link w:val="88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4">
    <w:name w:val="Footer Char"/>
    <w:basedOn w:val="856"/>
    <w:link w:val="883"/>
    <w:uiPriority w:val="99"/>
    <w:pPr>
      <w:pBdr/>
      <w:spacing/>
      <w:ind/>
    </w:pPr>
  </w:style>
  <w:style w:type="paragraph" w:styleId="885">
    <w:name w:val="Caption"/>
    <w:basedOn w:val="905"/>
    <w:next w:val="90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6">
    <w:name w:val="footnote text"/>
    <w:basedOn w:val="905"/>
    <w:link w:val="88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7">
    <w:name w:val="Footnote Text Char"/>
    <w:basedOn w:val="856"/>
    <w:link w:val="886"/>
    <w:uiPriority w:val="99"/>
    <w:semiHidden/>
    <w:pPr>
      <w:pBdr/>
      <w:spacing/>
      <w:ind/>
    </w:pPr>
    <w:rPr>
      <w:sz w:val="20"/>
      <w:szCs w:val="20"/>
    </w:rPr>
  </w:style>
  <w:style w:type="character" w:styleId="888">
    <w:name w:val="foot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paragraph" w:styleId="889">
    <w:name w:val="endnote text"/>
    <w:basedOn w:val="905"/>
    <w:link w:val="89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0">
    <w:name w:val="Endnote Text Char"/>
    <w:basedOn w:val="856"/>
    <w:link w:val="889"/>
    <w:uiPriority w:val="99"/>
    <w:semiHidden/>
    <w:pPr>
      <w:pBdr/>
      <w:spacing/>
      <w:ind/>
    </w:pPr>
    <w:rPr>
      <w:sz w:val="20"/>
      <w:szCs w:val="20"/>
    </w:rPr>
  </w:style>
  <w:style w:type="character" w:styleId="891">
    <w:name w:val="end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character" w:styleId="892">
    <w:name w:val="Hyperlink"/>
    <w:basedOn w:val="85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3">
    <w:name w:val="FollowedHyperlink"/>
    <w:basedOn w:val="85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4">
    <w:name w:val="toc 1"/>
    <w:basedOn w:val="905"/>
    <w:next w:val="905"/>
    <w:uiPriority w:val="39"/>
    <w:unhideWhenUsed/>
    <w:pPr>
      <w:pBdr/>
      <w:spacing w:after="100"/>
      <w:ind/>
    </w:pPr>
  </w:style>
  <w:style w:type="paragraph" w:styleId="895">
    <w:name w:val="toc 2"/>
    <w:basedOn w:val="905"/>
    <w:next w:val="905"/>
    <w:uiPriority w:val="39"/>
    <w:unhideWhenUsed/>
    <w:pPr>
      <w:pBdr/>
      <w:spacing w:after="100"/>
      <w:ind w:left="220"/>
    </w:pPr>
  </w:style>
  <w:style w:type="paragraph" w:styleId="896">
    <w:name w:val="toc 3"/>
    <w:basedOn w:val="905"/>
    <w:next w:val="905"/>
    <w:uiPriority w:val="39"/>
    <w:unhideWhenUsed/>
    <w:pPr>
      <w:pBdr/>
      <w:spacing w:after="100"/>
      <w:ind w:left="440"/>
    </w:pPr>
  </w:style>
  <w:style w:type="paragraph" w:styleId="897">
    <w:name w:val="toc 4"/>
    <w:basedOn w:val="905"/>
    <w:next w:val="905"/>
    <w:uiPriority w:val="39"/>
    <w:unhideWhenUsed/>
    <w:pPr>
      <w:pBdr/>
      <w:spacing w:after="100"/>
      <w:ind w:left="660"/>
    </w:pPr>
  </w:style>
  <w:style w:type="paragraph" w:styleId="898">
    <w:name w:val="toc 5"/>
    <w:basedOn w:val="905"/>
    <w:next w:val="905"/>
    <w:uiPriority w:val="39"/>
    <w:unhideWhenUsed/>
    <w:pPr>
      <w:pBdr/>
      <w:spacing w:after="100"/>
      <w:ind w:left="880"/>
    </w:pPr>
  </w:style>
  <w:style w:type="paragraph" w:styleId="899">
    <w:name w:val="toc 6"/>
    <w:basedOn w:val="905"/>
    <w:next w:val="905"/>
    <w:uiPriority w:val="39"/>
    <w:unhideWhenUsed/>
    <w:pPr>
      <w:pBdr/>
      <w:spacing w:after="100"/>
      <w:ind w:left="1100"/>
    </w:pPr>
  </w:style>
  <w:style w:type="paragraph" w:styleId="900">
    <w:name w:val="toc 7"/>
    <w:basedOn w:val="905"/>
    <w:next w:val="905"/>
    <w:uiPriority w:val="39"/>
    <w:unhideWhenUsed/>
    <w:pPr>
      <w:pBdr/>
      <w:spacing w:after="100"/>
      <w:ind w:left="1320"/>
    </w:pPr>
  </w:style>
  <w:style w:type="paragraph" w:styleId="901">
    <w:name w:val="toc 8"/>
    <w:basedOn w:val="905"/>
    <w:next w:val="905"/>
    <w:uiPriority w:val="39"/>
    <w:unhideWhenUsed/>
    <w:pPr>
      <w:pBdr/>
      <w:spacing w:after="100"/>
      <w:ind w:left="1540"/>
    </w:pPr>
  </w:style>
  <w:style w:type="paragraph" w:styleId="902">
    <w:name w:val="toc 9"/>
    <w:basedOn w:val="905"/>
    <w:next w:val="905"/>
    <w:uiPriority w:val="39"/>
    <w:unhideWhenUsed/>
    <w:pPr>
      <w:pBdr/>
      <w:spacing w:after="100"/>
      <w:ind w:left="1760"/>
    </w:pPr>
  </w:style>
  <w:style w:type="paragraph" w:styleId="903">
    <w:name w:val="TOC Heading"/>
    <w:uiPriority w:val="39"/>
    <w:unhideWhenUsed/>
    <w:pPr>
      <w:pBdr/>
      <w:spacing/>
      <w:ind/>
    </w:pPr>
  </w:style>
  <w:style w:type="paragraph" w:styleId="904">
    <w:name w:val="table of figures"/>
    <w:basedOn w:val="905"/>
    <w:next w:val="905"/>
    <w:uiPriority w:val="99"/>
    <w:unhideWhenUsed/>
    <w:pPr>
      <w:pBdr/>
      <w:spacing w:after="0" w:afterAutospacing="0"/>
      <w:ind/>
    </w:pPr>
  </w:style>
  <w:style w:type="paragraph" w:styleId="905" w:default="1">
    <w:name w:val="Normal"/>
    <w:qFormat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No Spacing"/>
    <w:basedOn w:val="905"/>
    <w:uiPriority w:val="1"/>
    <w:qFormat/>
    <w:pPr>
      <w:pBdr/>
      <w:spacing w:after="0" w:line="240" w:lineRule="auto"/>
      <w:ind/>
    </w:pPr>
  </w:style>
  <w:style w:type="paragraph" w:styleId="909">
    <w:name w:val="List Paragraph"/>
    <w:basedOn w:val="90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2025-10-15T20:57:59Z</dcterms:modified>
</cp:coreProperties>
</file>