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highlight w:val="none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论中国民主的未来之《五民宪法》详解  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第1篇</w:t>
      </w:r>
      <w:r/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（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总则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概述</w:t>
      </w:r>
      <w:r/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：五民宪法的灵魂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cs="宋體-簡"/>
          <w:b/>
          <w:bCs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何清风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引言：一部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优秀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乃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法治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之魂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在历史的洪流中，宪法的意义不仅在于规范权力，更在于勾勒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一个国家的精神与未来。《五民宪法》以民治、民主、民权、民生、民族为核心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，构建了一套既扎根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中国土壤又放眼全球未来的宪政蓝图。其第一章总则，作为宪法的灵魂篇章，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明确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了国家、宪法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军队的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，明确了公民的权利与义务，并以特别条款为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注入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特别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《五民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宪法》以民治为核心，超越了传统三民主义的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范式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，回应了21世纪中国对民主的深切渴望。本文将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初步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解读第一章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内容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在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后续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当中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逐条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解读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每一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详细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内容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，揭开《五民宪法》的思想内核，带领读者走进中国民主未来的宏伟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蓝图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五民主义的精髓：民治为魂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五民主义并非承袭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三民主义，而是以“民治”为核心的全新政治哲学，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逐步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推导出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那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个“1”，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是1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后面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的0，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没有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这个1，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再多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的0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都是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毫无意义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存在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两个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组成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：一为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自治，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自我管理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，强调个人在社会生活中的自主性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处于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进行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管理，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负有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同时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享有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对等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享有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同时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需要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负有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对等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；二为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公民治理国家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直接参与国家事务的权力，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组成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而非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统治者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统治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。这一核心理念打破了传统政治的精英垄断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王权（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皇权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垄断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传统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，主张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不仅是权力的来源，更是治理的主体，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。由民治出发，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引导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表达意志的机制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保障个人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自由与尊严，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其他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诸多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方面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行使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建立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关注公平与福祉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生存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得以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保障，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人们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才有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可能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复兴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守护国家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独立与文化传承，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。五民主义以民治为根，串联起民主、民权、民生、民族，形成一个立体而平衡的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体系，为中国未来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提供了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理论支点。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《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五民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》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核心内容：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第一章 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总则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br/>
        <w:t xml:space="preserve">    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第一章总则作为《五民宪法》的开篇，奠定了宪法的基调与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框架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，其内容涵盖以下关键要素：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国家的定义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：第一章明确国家为“民治之国”，主权完全归于全体公民。国家不仅是一个政治实体，更是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共同意志的体现，旨在实现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公平、正义与繁荣。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：宪法被定义为国家的最高法律，超越一切权势，确保民治、民主、民权、民生、民族的原则贯穿治理始终，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确保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法治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根基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牢固，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来源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正当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军队的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：军队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被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为“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的军队、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军队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”，其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职责是保卫国家主权与公民权利，而非服务于任何个人或派系，杜绝军事干政的可能性。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公民的权利与义务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：公民享有广泛的自由，包括言论、结社、信仰等，同时负有参与公共事务、维护社会秩序的义务。民治理念贯穿其中，鼓励公民通过选举、监督与直接参与，共同塑造国家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未来。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特别条款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：第一章引入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创新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特别条款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，为宪法的灵活性与适应性提供保障。这些条款允许在特殊情况下调整治理机制，以应对危机或重大社会变革，确保宪法的生命力。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五民宪法对中国民主的启示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《五民宪法》第一章以民治为核心，勾勒出中国民主的独特路径。它回应了西方民主在中国的“水土不服”，避免了过度集权与民粹主义的双重陷阱。通过将公民自我管理与国家治理相结合，《五民宪法》赋予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前所未有的主体地位，打破了传统政治的被动参与模式。同时，其对军队的严格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与公民权利义务的平衡设计，确保了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稳定性和可持续性。特别条款的设置则为宪法注入动态适应能力，使其能够应对技术革命、全球化等新挑战。在当今世界，民主的实践面临诸多困境：西方民主饱受分裂与低效之苦，威权体制则难以回应人民对自由的渴望。《五民宪法》提供了一种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“第三条道路”，既继承了中国传统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智慧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，又吸纳了现代民主的普世价值，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结合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实际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世界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主流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发展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方向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。它不仅是一部法律文本，更是一场关于中国民主未来的思想实验，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也是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全体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相互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签署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共同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契约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，激发我们思考，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促使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我们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团结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：如何在保持国家稳定与文化自信的同时，赋予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真正的治理权力？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结语：迈向民主的星辰大海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《五民宪法》第一章总则以民治为魂，勾勒出一幅令人振奋的民主图景。它告诉我们，中国的民主未来不是对西方的简单模仿，而是植根于自身文明的创新实践。民治、民主、民权、民生、民族——这五个理念如五颗星辰，指引着中国迈向一个自由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正义、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平等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求实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繁荣的未来。下一篇文章将聚焦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细节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，深入探讨《五民宪法》中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设计，敬请期待这场思想的盛宴！</w:t>
      </w:r>
      <w:r>
        <w:rPr>
          <w:rFonts w:ascii="宋體-簡" w:hAnsi="宋體-簡" w:eastAsia="宋體-簡" w:cs="宋體-簡"/>
          <w:sz w:val="24"/>
          <w:szCs w:val="24"/>
        </w:rPr>
        <w:t xml:space="preserve">“五民主义”</w:t>
      </w:r>
      <w:r>
        <w:rPr>
          <w:rFonts w:ascii="宋體-簡" w:hAnsi="宋體-簡" w:eastAsia="宋體-簡" w:cs="宋體-簡"/>
          <w:sz w:val="24"/>
          <w:szCs w:val="24"/>
        </w:rPr>
        <w:t xml:space="preserve">奠基人</w:t>
      </w:r>
      <w:r>
        <w:rPr>
          <w:rFonts w:ascii="宋體-簡" w:hAnsi="宋體-簡" w:eastAsia="宋體-簡" w:cs="宋體-簡"/>
          <w:sz w:val="24"/>
          <w:szCs w:val="24"/>
        </w:rPr>
        <w:t xml:space="preserve">、</w:t>
      </w:r>
      <w:r>
        <w:rPr>
          <w:rFonts w:ascii="宋體-簡" w:hAnsi="宋體-簡" w:eastAsia="宋體-簡" w:cs="宋體-簡"/>
          <w:sz w:val="24"/>
          <w:szCs w:val="24"/>
        </w:rPr>
        <w:t xml:space="preserve">《五民</w:t>
      </w:r>
      <w:r>
        <w:rPr>
          <w:rFonts w:ascii="宋體-簡" w:hAnsi="宋體-簡" w:eastAsia="宋體-簡" w:cs="宋體-簡"/>
          <w:sz w:val="24"/>
          <w:szCs w:val="24"/>
        </w:rPr>
        <w:t xml:space="preserve">宪法》</w:t>
      </w:r>
      <w:r>
        <w:rPr>
          <w:rFonts w:ascii="宋體-簡" w:hAnsi="宋體-簡" w:eastAsia="宋體-簡" w:cs="宋體-簡"/>
          <w:sz w:val="24"/>
          <w:szCs w:val="24"/>
        </w:rPr>
        <w:t xml:space="preserve">撰写人</w:t>
      </w:r>
      <w:r>
        <w:rPr>
          <w:rFonts w:ascii="宋體-簡" w:hAnsi="宋體-簡" w:eastAsia="宋體-簡" w:cs="宋體-簡"/>
          <w:sz w:val="24"/>
          <w:szCs w:val="24"/>
        </w:rPr>
        <w:t xml:space="preserve">何清风，</w:t>
      </w:r>
      <w:r>
        <w:rPr>
          <w:rFonts w:ascii="宋體-簡" w:hAnsi="宋體-簡" w:eastAsia="宋體-簡" w:cs="宋體-簡"/>
          <w:sz w:val="24"/>
          <w:szCs w:val="24"/>
        </w:rPr>
        <w:t xml:space="preserve">一身正气、</w:t>
      </w:r>
      <w:r>
        <w:rPr>
          <w:rFonts w:ascii="宋體-簡" w:hAnsi="宋體-簡" w:eastAsia="宋體-簡" w:cs="宋體-簡"/>
          <w:sz w:val="24"/>
          <w:szCs w:val="24"/>
        </w:rPr>
        <w:t xml:space="preserve">两袖清风，</w:t>
      </w:r>
      <w:r>
        <w:rPr>
          <w:rFonts w:ascii="宋體-簡" w:hAnsi="宋體-簡" w:eastAsia="宋體-簡" w:cs="宋體-簡"/>
          <w:sz w:val="24"/>
          <w:szCs w:val="24"/>
        </w:rPr>
        <w:t xml:space="preserve">何清风</w:t>
      </w:r>
      <w:r>
        <w:rPr>
          <w:rFonts w:ascii="宋體-簡" w:hAnsi="宋體-簡" w:eastAsia="宋體-簡" w:cs="宋體-簡"/>
          <w:sz w:val="24"/>
          <w:szCs w:val="24"/>
        </w:rPr>
        <w:t xml:space="preserve">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/>
        <w:spacing/>
        <w:ind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2025-07-02T17:46:58Z</dcterms:modified>
</cp:coreProperties>
</file>