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900"/>
        <w:rPr>
          <w:rFonts w:ascii="Songti SC" w:hAnsi="Songti SC" w:cs="Songti SC"/>
          <w:b/>
          <w:bCs/>
          <w:sz w:val="36"/>
          <w:szCs w:val="36"/>
        </w:rPr>
      </w:pPr>
      <w:r>
        <w:rPr>
          <w:rFonts w:ascii="Songti SC" w:hAnsi="Songti SC" w:eastAsia="Songti SC" w:cs="Songti SC"/>
          <w:b/>
          <w:bCs/>
          <w:sz w:val="36"/>
          <w:szCs w:val="36"/>
        </w:rPr>
        <w:t xml:space="preserve">农民养老金微薄，中共社保成敛财工具</w:t>
      </w:r>
      <w:r>
        <w:rPr>
          <w:rFonts w:ascii="Songti SC" w:hAnsi="Songti SC" w:eastAsia="Songti SC" w:cs="Songti SC"/>
          <w:b/>
          <w:bCs/>
          <w:sz w:val="36"/>
          <w:szCs w:val="36"/>
        </w:rPr>
      </w:r>
    </w:p>
    <w:p>
      <w:pPr>
        <w:pBdr/>
        <w:spacing/>
        <w:ind w:firstLine="84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/>
        <w:rPr>
          <w:rFonts w:ascii="Songti SC" w:hAnsi="Songti SC" w:cs="Songti SC"/>
          <w:b/>
          <w:bCs/>
          <w:sz w:val="24"/>
          <w:szCs w:val="24"/>
        </w:rPr>
      </w:pP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  <w:t xml:space="preserve">摘要：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王志安在《王局拍案》中直言不讳地指出，农民缴纳的社保实际上成为支撑城市福利的“隐形补贴”。</w:t>
      </w:r>
      <w:r>
        <w:rPr>
          <w:rFonts w:ascii="Songti SC" w:hAnsi="Songti SC" w:eastAsia="Songti SC" w:cs="Songti SC"/>
          <w:b/>
          <w:bCs/>
          <w:sz w:val="24"/>
          <w:szCs w:val="24"/>
        </w:rPr>
        <w:t xml:space="preserve">早在1995年，台湾就建立了“老农津贴”，只要年满65岁并在农会登记，农民就能领取养老金。</w:t>
      </w:r>
      <w:r>
        <w:rPr>
          <w:b/>
          <w:bCs/>
        </w:rPr>
      </w:r>
      <w:r>
        <w:rPr>
          <w:rFonts w:ascii="Songti SC" w:hAnsi="Songti SC" w:eastAsia="Songti SC" w:cs="Songti SC"/>
          <w:b/>
          <w:bCs/>
          <w:sz w:val="24"/>
          <w:szCs w:val="24"/>
          <w:highlight w:val="none"/>
        </w:rPr>
      </w:r>
    </w:p>
    <w:p>
      <w:pPr>
        <w:suppressLineNumbers w:val="false"/>
        <w:pBdr/>
        <w:spacing w:after="113" w:before="283" w:line="240" w:lineRule="auto"/>
        <w:ind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作者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：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hint="eastAsia" w:ascii="Songti SC" w:hAnsi="Songti SC" w:eastAsia="Songti SC" w:cs="Songti SC"/>
          <w:sz w:val="24"/>
          <w:szCs w:val="24"/>
        </w:rPr>
        <w:t xml:space="preserve">毛一炜</w:t>
      </w:r>
      <w:r/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283" w:before="0" w:line="240" w:lineRule="auto"/>
        <w:ind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编辑：</w:t>
      </w:r>
      <w:r>
        <w:rPr>
          <w:rFonts w:ascii="Songti SC" w:hAnsi="Songti SC" w:eastAsia="Songti SC" w:cs="Songti SC"/>
          <w:sz w:val="24"/>
          <w:szCs w:val="24"/>
          <w:highlight w:val="none"/>
        </w:rPr>
        <w:t xml:space="preserve">何清风</w:t>
      </w:r>
      <w:r>
        <w:rPr>
          <w:rFonts w:ascii="Songti SC" w:hAnsi="Songti SC" w:eastAsia="Songti SC" w:cs="Songti SC"/>
          <w:sz w:val="24"/>
          <w:szCs w:val="24"/>
          <w:highlight w:val="none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eastAsia="Songti SC" w:cs="Songti SC"/>
          <w:sz w:val="24"/>
          <w:szCs w:val="24"/>
          <w:highlight w:val="none"/>
        </w:rPr>
      </w:pPr>
      <w:r>
        <w:rPr>
          <w:rFonts w:ascii="Songti SC" w:hAnsi="Songti SC" w:eastAsia="Songti SC" w:cs="Songti SC"/>
          <w:sz w:val="24"/>
          <w:szCs w:val="24"/>
        </w:rPr>
        <w:t xml:space="preserve">农民几十年辛苦缴纳社保，到老却</w:t>
      </w:r>
      <w:r>
        <w:rPr>
          <w:rFonts w:ascii="Songti SC" w:hAnsi="Songti SC" w:eastAsia="Songti SC" w:cs="Songti SC"/>
          <w:sz w:val="24"/>
          <w:szCs w:val="24"/>
        </w:rPr>
        <w:t xml:space="preserve">得</w:t>
      </w:r>
      <w:r>
        <w:rPr>
          <w:rFonts w:ascii="Songti SC" w:hAnsi="Songti SC" w:eastAsia="Songti SC" w:cs="Songti SC"/>
          <w:sz w:val="24"/>
          <w:szCs w:val="24"/>
        </w:rPr>
        <w:t xml:space="preserve">不到应有</w:t>
      </w:r>
      <w:r>
        <w:rPr>
          <w:rFonts w:ascii="Songti SC" w:hAnsi="Songti SC" w:eastAsia="Songti SC" w:cs="Songti SC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sz w:val="24"/>
          <w:szCs w:val="24"/>
        </w:rPr>
        <w:t xml:space="preserve">保障，缴纳的钱大部分流向城市特权阶层，这就是制度的真实写照。城市职工养老金</w:t>
      </w:r>
      <w:r>
        <w:rPr>
          <w:rFonts w:ascii="Songti SC" w:hAnsi="Songti SC" w:eastAsia="Songti SC" w:cs="Songti SC"/>
          <w:sz w:val="24"/>
          <w:szCs w:val="24"/>
        </w:rPr>
        <w:t xml:space="preserve">大多</w:t>
      </w:r>
      <w:r>
        <w:rPr>
          <w:rFonts w:ascii="Songti SC" w:hAnsi="Songti SC" w:eastAsia="Songti SC" w:cs="Songti SC"/>
          <w:sz w:val="24"/>
          <w:szCs w:val="24"/>
        </w:rPr>
        <w:t xml:space="preserve">上千甚至上万，而农民几十年</w:t>
      </w:r>
      <w:r>
        <w:rPr>
          <w:rFonts w:ascii="Songti SC" w:hAnsi="Songti SC" w:eastAsia="Songti SC" w:cs="Songti SC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sz w:val="24"/>
          <w:szCs w:val="24"/>
        </w:rPr>
        <w:t xml:space="preserve">辛勤</w:t>
      </w:r>
      <w:r>
        <w:rPr>
          <w:rFonts w:ascii="Songti SC" w:hAnsi="Songti SC" w:eastAsia="Songti SC" w:cs="Songti SC"/>
          <w:sz w:val="24"/>
          <w:szCs w:val="24"/>
        </w:rPr>
        <w:t xml:space="preserve">劳作，到手的养老金往往只有几百元。王志安在《王局拍案》中直言不讳地指出，农民缴纳的社保实际上成为支撑城市福利的“隐形补贴”。</w:t>
      </w:r>
      <w:r>
        <w:rPr>
          <w:rFonts w:ascii="Songti SC" w:hAnsi="Songti SC" w:eastAsia="Songti SC" w:cs="Songti SC"/>
          <w:sz w:val="24"/>
          <w:szCs w:val="24"/>
        </w:rPr>
        <w:t xml:space="preserve">这种差距绝非偶然</w:t>
      </w:r>
      <w:r>
        <w:rPr>
          <w:rFonts w:ascii="Songti SC" w:hAnsi="Songti SC" w:eastAsia="Songti SC" w:cs="Songti SC"/>
          <w:sz w:val="24"/>
          <w:szCs w:val="24"/>
        </w:rPr>
        <w:t xml:space="preserve">，而是制度设计与权力逻辑共同作用的结果。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  <w:highlight w:val="none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大陆社保长期实行城乡二元制度。城镇社保由财政兜底，保障稳固；农村社保几乎完全依赖个人缴费，回报微薄。农民即便进城打工多年，也无法享受与城市职工同等待遇。更令人质疑的是，这些缴纳款项并非完全用于农民本身，而在制度上被挪用或用于支撑城市特权阶层的福利。换言之，中共通过社保体系形成了对农民的长期敛财机制：表面是保障，</w:t>
      </w:r>
      <w:r>
        <w:rPr>
          <w:rFonts w:ascii="Songti SC" w:hAnsi="Songti SC" w:eastAsia="Songti SC" w:cs="Songti SC"/>
          <w:sz w:val="24"/>
          <w:szCs w:val="24"/>
        </w:rPr>
        <w:t xml:space="preserve">实际上是把农民辛苦劳作变为城市财政和特权阶层的资金来源</w:t>
      </w:r>
      <w:r>
        <w:rPr>
          <w:rFonts w:ascii="Songti SC" w:hAnsi="Songti SC" w:eastAsia="Songti SC" w:cs="Songti SC"/>
          <w:sz w:val="24"/>
          <w:szCs w:val="24"/>
        </w:rPr>
        <w:t xml:space="preserve">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台湾的经验提供了鲜明对比。早在1995年，台湾就建立了“老农津贴”，只要年满65岁并在农会登记，农民就能领取养老金。金额不高，却体现了制度对农民劳动价值的尊重。台湾实行全民健保，城乡差异被大幅缩小，</w:t>
      </w:r>
      <w:r>
        <w:rPr>
          <w:rFonts w:ascii="Songti SC" w:hAnsi="Songti SC" w:eastAsia="Songti SC" w:cs="Songti SC"/>
          <w:sz w:val="24"/>
          <w:szCs w:val="24"/>
        </w:rPr>
        <w:t xml:space="preserve">农民与城市居民享有同等医疗待遇</w:t>
      </w:r>
      <w:r>
        <w:rPr>
          <w:rFonts w:ascii="Songti SC" w:hAnsi="Songti SC" w:eastAsia="Songti SC" w:cs="Songti SC"/>
          <w:sz w:val="24"/>
          <w:szCs w:val="24"/>
        </w:rPr>
        <w:t xml:space="preserve">。这种公平不是口号，而是民主监督下制度设计的必然结果。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造成大陆农民社保长期不公的根源，不在资金短缺，而在权力逻辑安排。城市优先、权力优先，农民被系统性边缘化，缴纳的资金被挪用或消耗于非农民群体。台湾能够实现相对公平，是因为农民拥有选票，政治人物必须回应，否则会面临下台风险。没有民主监督，就没有制度公平；没有民意压力，</w:t>
      </w:r>
      <w:r>
        <w:rPr>
          <w:rFonts w:ascii="Songti SC" w:hAnsi="Songti SC" w:eastAsia="Songti SC" w:cs="Songti SC"/>
          <w:sz w:val="24"/>
          <w:szCs w:val="24"/>
        </w:rPr>
        <w:t xml:space="preserve">农民永远是制度牺牲者</w:t>
      </w:r>
      <w:r>
        <w:rPr>
          <w:rFonts w:ascii="Songti SC" w:hAnsi="Songti SC" w:eastAsia="Songti SC" w:cs="Songti SC"/>
          <w:sz w:val="24"/>
          <w:szCs w:val="24"/>
        </w:rPr>
        <w:t xml:space="preserve">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社保欺农背后的敛财逻辑，也揭示了中共制度本质：社会资源被用于维持权力结构，而非真正保障民生。农民缴纳的钱，经过层层行政运作和地方财政调剂，往往难以真正回到缴纳者手中。这种制度设计，使得农民不仅承担劳动负担，也成为城市福利和特权阶层的长期资金来源。所谓“共同富裕”，在这种体系下，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  <w:t xml:space="preserve">只是空洞口号。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p>
      <w:pPr>
        <w:suppressLineNumbers w:val="false"/>
        <w:pBdr/>
        <w:spacing w:after="283" w:before="0" w:line="240" w:lineRule="auto"/>
        <w:ind w:firstLine="420"/>
        <w:contextualSpacing w:val="false"/>
        <w:jc w:val="both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农民缺乏有效监督权力</w:t>
      </w:r>
      <w:r>
        <w:rPr>
          <w:rFonts w:ascii="Songti SC" w:hAnsi="Songti SC" w:eastAsia="Songti SC" w:cs="Songti SC"/>
          <w:sz w:val="24"/>
          <w:szCs w:val="24"/>
        </w:rPr>
        <w:t xml:space="preserve">的</w:t>
      </w:r>
      <w:r>
        <w:rPr>
          <w:rFonts w:ascii="Songti SC" w:hAnsi="Songti SC" w:eastAsia="Songti SC" w:cs="Songti SC"/>
          <w:sz w:val="24"/>
          <w:szCs w:val="24"/>
        </w:rPr>
        <w:t xml:space="preserve">能力</w:t>
      </w:r>
      <w:r>
        <w:rPr>
          <w:rFonts w:ascii="Songti SC" w:hAnsi="Songti SC" w:eastAsia="Songti SC" w:cs="Songti SC"/>
          <w:sz w:val="24"/>
          <w:szCs w:val="24"/>
        </w:rPr>
        <w:t xml:space="preserve">，无法阻止这一体系运作。缴费年限越长，贫困风险越高，养老金却越来越低。这种结构性不公，让农民长期处于制度的被动和边缘地位。台湾的经验告诉我们，即便资源有限，</w:t>
      </w:r>
      <w:r>
        <w:rPr>
          <w:rFonts w:ascii="Songti SC" w:hAnsi="Songti SC" w:eastAsia="Songti SC" w:cs="Songti SC"/>
          <w:sz w:val="24"/>
          <w:szCs w:val="24"/>
        </w:rPr>
        <w:t xml:space="preserve">民主机制也能保证弱势群体享有基本权利</w:t>
      </w:r>
      <w:r>
        <w:rPr>
          <w:rFonts w:ascii="Songti SC" w:hAnsi="Songti SC" w:eastAsia="Songti SC" w:cs="Songti SC"/>
          <w:sz w:val="24"/>
          <w:szCs w:val="24"/>
        </w:rPr>
        <w:t xml:space="preserve">；而在中共体制下，农民只能被动接受不平等安排。</w:t>
      </w:r>
      <w:r>
        <w:rPr>
          <w:rFonts w:ascii="Songti SC" w:hAnsi="Songti SC" w:eastAsia="Songti SC" w:cs="Songti SC"/>
          <w:sz w:val="24"/>
          <w:szCs w:val="24"/>
        </w:rPr>
      </w:r>
    </w:p>
    <w:p>
      <w:pPr>
        <w:pBdr/>
        <w:spacing/>
        <w:ind w:firstLine="420"/>
        <w:rPr>
          <w:rFonts w:ascii="Songti SC" w:hAnsi="Songti SC" w:cs="Songti SC"/>
          <w:sz w:val="24"/>
          <w:szCs w:val="24"/>
        </w:rPr>
      </w:pPr>
      <w:r>
        <w:rPr>
          <w:rFonts w:ascii="Songti SC" w:hAnsi="Songti SC" w:eastAsia="Songti SC" w:cs="Songti SC"/>
          <w:sz w:val="24"/>
          <w:szCs w:val="24"/>
        </w:rPr>
        <w:t xml:space="preserve">可以看到，大陆社保欺农的问题核心在制度和权力逻辑，而非技术问题或资金不足。学台湾，不只是学政策表象，更要学民主监督和权力制衡。一个国家，如果农民辛劳一生，到老仍被制度抛弃，缴纳款项</w:t>
      </w:r>
      <w:r>
        <w:rPr>
          <w:rFonts w:ascii="Songti SC" w:hAnsi="Songti SC" w:eastAsia="Songti SC" w:cs="Songti SC"/>
          <w:sz w:val="24"/>
          <w:szCs w:val="24"/>
        </w:rPr>
        <w:t xml:space="preserve">反而被权力结构吸收，用于特权阶层福利，这个国家就失去了最基本的正义。真正的改革，不仅要调整社保数字，更要让农民拥有发声权和参与权，让制度不再成为权力敛财的工具，而是真正保护他们的尊严。</w:t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eastAsia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  <w:r>
        <w:rPr>
          <w:rFonts w:ascii="Songti SC" w:hAnsi="Songti SC" w:cs="Songti SC"/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71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72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726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169">
    <w:name w:val="No Spacing"/>
    <w:basedOn w:val="696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06"/>
    <w:link w:val="729"/>
    <w:uiPriority w:val="99"/>
    <w:pPr>
      <w:pBdr/>
      <w:spacing/>
      <w:ind/>
    </w:pPr>
  </w:style>
  <w:style w:type="character" w:styleId="178">
    <w:name w:val="Footer Char"/>
    <w:basedOn w:val="706"/>
    <w:link w:val="731"/>
    <w:uiPriority w:val="99"/>
    <w:pPr>
      <w:pBdr/>
      <w:spacing/>
      <w:ind/>
    </w:pPr>
  </w:style>
  <w:style w:type="paragraph" w:styleId="179">
    <w:name w:val="Caption"/>
    <w:basedOn w:val="696"/>
    <w:next w:val="6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6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6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189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190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191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192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193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194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195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196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6"/>
    <w:next w:val="696"/>
    <w:uiPriority w:val="99"/>
    <w:unhideWhenUsed/>
    <w:pPr>
      <w:pBdr/>
      <w:spacing w:after="0" w:afterAutospacing="0"/>
      <w:ind/>
    </w:pPr>
  </w:style>
  <w:style w:type="paragraph" w:styleId="696" w:default="1">
    <w:name w:val="Normal"/>
    <w:qFormat/>
    <w:pPr>
      <w:widowControl w:val="false"/>
      <w:pBdr/>
      <w:spacing/>
      <w:ind/>
      <w:jc w:val="both"/>
    </w:pPr>
  </w:style>
  <w:style w:type="paragraph" w:styleId="697">
    <w:name w:val="Heading 1"/>
    <w:basedOn w:val="696"/>
    <w:next w:val="696"/>
    <w:link w:val="709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paragraph" w:styleId="698">
    <w:name w:val="Heading 2"/>
    <w:basedOn w:val="696"/>
    <w:next w:val="696"/>
    <w:link w:val="71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99">
    <w:name w:val="Heading 3"/>
    <w:basedOn w:val="696"/>
    <w:next w:val="696"/>
    <w:link w:val="71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00">
    <w:name w:val="Heading 4"/>
    <w:basedOn w:val="696"/>
    <w:next w:val="696"/>
    <w:link w:val="71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701">
    <w:name w:val="Heading 5"/>
    <w:basedOn w:val="696"/>
    <w:next w:val="696"/>
    <w:link w:val="71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702">
    <w:name w:val="Heading 6"/>
    <w:basedOn w:val="696"/>
    <w:next w:val="696"/>
    <w:link w:val="71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cstheme="majorBidi"/>
      <w:b/>
      <w:bCs/>
      <w:color w:val="2f5496" w:themeColor="accent1" w:themeShade="BF"/>
    </w:rPr>
  </w:style>
  <w:style w:type="paragraph" w:styleId="703">
    <w:name w:val="Heading 7"/>
    <w:basedOn w:val="696"/>
    <w:next w:val="696"/>
    <w:link w:val="71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cstheme="majorBidi"/>
      <w:b/>
      <w:bCs/>
      <w:color w:val="595959" w:themeColor="text1" w:themeTint="A6"/>
    </w:rPr>
  </w:style>
  <w:style w:type="paragraph" w:styleId="704">
    <w:name w:val="Heading 8"/>
    <w:basedOn w:val="696"/>
    <w:next w:val="696"/>
    <w:link w:val="71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cstheme="majorBidi"/>
      <w:color w:val="595959" w:themeColor="text1" w:themeTint="A6"/>
    </w:rPr>
  </w:style>
  <w:style w:type="paragraph" w:styleId="705">
    <w:name w:val="Heading 9"/>
    <w:basedOn w:val="696"/>
    <w:next w:val="696"/>
    <w:link w:val="71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595959" w:themeColor="text1" w:themeTint="A6"/>
    </w:rPr>
  </w:style>
  <w:style w:type="character" w:styleId="706" w:default="1">
    <w:name w:val="Default Paragraph Font"/>
    <w:uiPriority w:val="1"/>
    <w:semiHidden/>
    <w:unhideWhenUsed/>
    <w:pPr>
      <w:pBdr/>
      <w:spacing/>
      <w:ind/>
    </w:pPr>
  </w:style>
  <w:style w:type="table" w:styleId="70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character" w:styleId="709" w:customStyle="1">
    <w:name w:val="标题 1 字符"/>
    <w:basedOn w:val="706"/>
    <w:link w:val="69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8"/>
      <w:szCs w:val="48"/>
    </w:rPr>
  </w:style>
  <w:style w:type="character" w:styleId="710" w:customStyle="1">
    <w:name w:val="标题 2 字符"/>
    <w:basedOn w:val="706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711" w:customStyle="1">
    <w:name w:val="标题 3 字符"/>
    <w:basedOn w:val="706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712" w:customStyle="1">
    <w:name w:val="标题 4 字符"/>
    <w:basedOn w:val="706"/>
    <w:link w:val="700"/>
    <w:uiPriority w:val="9"/>
    <w:semiHidden/>
    <w:pPr>
      <w:pBdr/>
      <w:spacing/>
      <w:ind/>
    </w:pPr>
    <w:rPr>
      <w:rFonts w:cstheme="majorBidi"/>
      <w:color w:val="2f5496" w:themeColor="accent1" w:themeShade="BF"/>
      <w:sz w:val="28"/>
      <w:szCs w:val="28"/>
    </w:rPr>
  </w:style>
  <w:style w:type="character" w:styleId="713" w:customStyle="1">
    <w:name w:val="标题 5 字符"/>
    <w:basedOn w:val="706"/>
    <w:link w:val="701"/>
    <w:uiPriority w:val="9"/>
    <w:semiHidden/>
    <w:pPr>
      <w:pBdr/>
      <w:spacing/>
      <w:ind/>
    </w:pPr>
    <w:rPr>
      <w:rFonts w:cstheme="majorBidi"/>
      <w:color w:val="2f5496" w:themeColor="accent1" w:themeShade="BF"/>
      <w:sz w:val="24"/>
      <w:szCs w:val="24"/>
    </w:rPr>
  </w:style>
  <w:style w:type="character" w:styleId="714" w:customStyle="1">
    <w:name w:val="标题 6 字符"/>
    <w:basedOn w:val="706"/>
    <w:link w:val="702"/>
    <w:uiPriority w:val="9"/>
    <w:semiHidden/>
    <w:pPr>
      <w:pBdr/>
      <w:spacing/>
      <w:ind/>
    </w:pPr>
    <w:rPr>
      <w:rFonts w:cstheme="majorBidi"/>
      <w:b/>
      <w:bCs/>
      <w:color w:val="2f5496" w:themeColor="accent1" w:themeShade="BF"/>
    </w:rPr>
  </w:style>
  <w:style w:type="character" w:styleId="715" w:customStyle="1">
    <w:name w:val="标题 7 字符"/>
    <w:basedOn w:val="706"/>
    <w:link w:val="703"/>
    <w:uiPriority w:val="9"/>
    <w:semiHidden/>
    <w:pPr>
      <w:pBdr/>
      <w:spacing/>
      <w:ind/>
    </w:pPr>
    <w:rPr>
      <w:rFonts w:cstheme="majorBidi"/>
      <w:b/>
      <w:bCs/>
      <w:color w:val="595959" w:themeColor="text1" w:themeTint="A6"/>
    </w:rPr>
  </w:style>
  <w:style w:type="character" w:styleId="716" w:customStyle="1">
    <w:name w:val="标题 8 字符"/>
    <w:basedOn w:val="706"/>
    <w:link w:val="704"/>
    <w:uiPriority w:val="9"/>
    <w:semiHidden/>
    <w:pPr>
      <w:pBdr/>
      <w:spacing/>
      <w:ind/>
    </w:pPr>
    <w:rPr>
      <w:rFonts w:cstheme="majorBidi"/>
      <w:color w:val="595959" w:themeColor="text1" w:themeTint="A6"/>
    </w:rPr>
  </w:style>
  <w:style w:type="character" w:styleId="717" w:customStyle="1">
    <w:name w:val="标题 9 字符"/>
    <w:basedOn w:val="706"/>
    <w:link w:val="705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718">
    <w:name w:val="Title"/>
    <w:basedOn w:val="696"/>
    <w:next w:val="696"/>
    <w:link w:val="719"/>
    <w:uiPriority w:val="10"/>
    <w:qFormat/>
    <w:pPr>
      <w:pBdr/>
      <w:spacing w:after="80"/>
      <w:ind/>
      <w:contextualSpacing w:val="true"/>
      <w:jc w:val="center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19" w:customStyle="1">
    <w:name w:val="标题 字符"/>
    <w:basedOn w:val="706"/>
    <w:link w:val="718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20">
    <w:name w:val="Subtitle"/>
    <w:basedOn w:val="696"/>
    <w:next w:val="696"/>
    <w:link w:val="721"/>
    <w:uiPriority w:val="11"/>
    <w:qFormat/>
    <w:pPr>
      <w:numPr>
        <w:ilvl w:val="1"/>
      </w:numPr>
      <w:pBdr/>
      <w:spacing w:after="160"/>
      <w:ind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721" w:customStyle="1">
    <w:name w:val="副标题 字符"/>
    <w:basedOn w:val="706"/>
    <w:link w:val="720"/>
    <w:uiPriority w:val="11"/>
    <w:pPr>
      <w:pBdr/>
      <w:spacing/>
      <w:ind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722">
    <w:name w:val="Quote"/>
    <w:basedOn w:val="696"/>
    <w:next w:val="696"/>
    <w:link w:val="723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723" w:customStyle="1">
    <w:name w:val="引用 字符"/>
    <w:basedOn w:val="706"/>
    <w:link w:val="72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2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character" w:styleId="725">
    <w:name w:val="Intense Emphasis"/>
    <w:basedOn w:val="706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26">
    <w:name w:val="Intense Quote"/>
    <w:basedOn w:val="696"/>
    <w:next w:val="696"/>
    <w:link w:val="727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27" w:customStyle="1">
    <w:name w:val="明显引用 字符"/>
    <w:basedOn w:val="706"/>
    <w:link w:val="726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28">
    <w:name w:val="Intense Reference"/>
    <w:basedOn w:val="706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29">
    <w:name w:val="Header"/>
    <w:basedOn w:val="696"/>
    <w:link w:val="730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730" w:customStyle="1">
    <w:name w:val="页眉 字符"/>
    <w:basedOn w:val="706"/>
    <w:link w:val="729"/>
    <w:uiPriority w:val="99"/>
    <w:pPr>
      <w:pBdr/>
      <w:spacing/>
      <w:ind/>
    </w:pPr>
    <w:rPr>
      <w:sz w:val="18"/>
      <w:szCs w:val="18"/>
    </w:rPr>
  </w:style>
  <w:style w:type="paragraph" w:styleId="731">
    <w:name w:val="Footer"/>
    <w:basedOn w:val="696"/>
    <w:link w:val="732"/>
    <w:uiPriority w:val="99"/>
    <w:unhideWhenUsed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732" w:customStyle="1">
    <w:name w:val="页脚 字符"/>
    <w:basedOn w:val="706"/>
    <w:link w:val="731"/>
    <w:uiPriority w:val="99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revision>3</cp:revision>
  <dcterms:created xsi:type="dcterms:W3CDTF">2025-08-26T01:22:00Z</dcterms:created>
  <dcterms:modified xsi:type="dcterms:W3CDTF">2025-08-27T04:12:34Z</dcterms:modified>
</cp:coreProperties>
</file>