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2802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mussels at Glade Run (38.93031, -77.34245) on July 26, 2023, and 1578 mussels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a total of eight times from July 2023 to September 2024 (</w:t>
      </w:r>
      <w:hyperlink w:anchor="tbl-occasions">
        <w:r>
          <w:rPr>
            <w:rStyle w:val="Hyperlink"/>
          </w:rPr>
          <w:t xml:space="preserve">Table 1</w:t>
        </w:r>
      </w:hyperlink>
      <w:r>
        <w:t xml:space="preserve">) via a combination of mask and snorkel searches, view scopes, visual inspection of shallow areas, and manual substrate searches.</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Burnham (1993)</w:t>
      </w:r>
      <w:r>
        <w:t xml:space="preserve">) to analyze our mark-recapture data.</w:t>
      </w:r>
      <w:r>
        <w:t xml:space="preserve"> </w:t>
      </w:r>
      <w:r>
        <w:t xml:space="preserve">The Burnham model is an open population model that allows for the estimation of four model parameters:</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joint framework for comparison.</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sSub>
          <m:e>
            <m:r>
              <m:t>S</m:t>
            </m:r>
          </m:e>
          <m:sub>
            <m:d>
              <m:dPr>
                <m:begChr m:val="("/>
                <m:sepChr m:val=""/>
                <m:endChr m:val=")"/>
                <m:grow/>
              </m:dPr>
              <m:e>
                <m:r>
                  <m:t>t</m:t>
                </m:r>
              </m:e>
            </m:d>
          </m:sub>
        </m:sSub>
      </m:oMath>
      <w:r>
        <w:t xml:space="preserve">), was constant between all occasions(</w:t>
      </w:r>
      <m:oMath>
        <m:sSub>
          <m:e>
            <m:r>
              <m:t>S</m:t>
            </m:r>
          </m:e>
          <m:sub>
            <m:d>
              <m:dPr>
                <m:begChr m:val="("/>
                <m:sepChr m:val=""/>
                <m:endChr m:val=")"/>
                <m:grow/>
              </m:dPr>
              <m:e>
                <m:r>
                  <m:rPr>
                    <m:sty m:val="p"/>
                  </m:rPr>
                  <m:t>.</m:t>
                </m:r>
              </m:e>
            </m:d>
          </m:sub>
        </m:sSub>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sSub>
          <m:e>
            <m:r>
              <m:t>p</m:t>
            </m:r>
          </m:e>
          <m:sub>
            <m:d>
              <m:dPr>
                <m:begChr m:val="("/>
                <m:sepChr m:val=""/>
                <m:endChr m:val=")"/>
                <m:grow/>
              </m:dPr>
              <m:e>
                <m:r>
                  <m:rPr>
                    <m:sty m:val="p"/>
                  </m:rPr>
                  <m:t>.</m:t>
                </m:r>
              </m:e>
            </m:d>
          </m:sub>
        </m:sSub>
      </m:oMath>
      <w:r>
        <w:t xml:space="preserve">) or was constant between occasions for the same year but varied between years (</w:t>
      </w:r>
      <m:oMath>
        <m:sSub>
          <m:e>
            <m:r>
              <m:t>p</m:t>
            </m:r>
          </m:e>
          <m:sub>
            <m:d>
              <m:dPr>
                <m:begChr m:val="("/>
                <m:sepChr m:val=""/>
                <m:endChr m:val=")"/>
                <m:grow/>
              </m:dPr>
              <m:e>
                <m:r>
                  <m:t>y</m:t>
                </m:r>
                <m:r>
                  <m:t>e</m:t>
                </m:r>
                <m:r>
                  <m:t>a</m:t>
                </m:r>
                <m:r>
                  <m:t>r</m:t>
                </m:r>
              </m:e>
            </m:d>
          </m:sub>
        </m:sSub>
      </m:oMath>
      <w:r>
        <w:t xml:space="preserve">),</w:t>
      </w:r>
    </w:p>
    <w:p>
      <w:pPr>
        <w:pStyle w:val="Compact"/>
        <w:numPr>
          <w:ilvl w:val="0"/>
          <w:numId w:val="1002"/>
        </w:numPr>
      </w:pPr>
      <m:oMath>
        <m:r>
          <m:t>r</m:t>
        </m:r>
      </m:oMath>
      <w:r>
        <w:t xml:space="preserve"> </w:t>
      </w:r>
      <w:r>
        <w:t xml:space="preserve">was constant over all occasions(</w:t>
      </w:r>
      <m:oMath>
        <m:sSub>
          <m:e>
            <m:r>
              <m:t>r</m:t>
            </m:r>
          </m:e>
          <m:sub>
            <m:d>
              <m:dPr>
                <m:begChr m:val="("/>
                <m:sepChr m:val=""/>
                <m:endChr m:val=")"/>
                <m:grow/>
              </m:dPr>
              <m:e>
                <m:r>
                  <m:rPr>
                    <m:sty m:val="p"/>
                  </m:rPr>
                  <m:t>.</m:t>
                </m:r>
              </m:e>
            </m:d>
          </m:sub>
        </m:sSub>
      </m:oMath>
      <w:r>
        <w:t xml:space="preserve">) or was constant between occasions for the same year but varied between years (</w:t>
      </w:r>
      <m:oMath>
        <m:sSub>
          <m:e>
            <m:r>
              <m:t>r</m:t>
            </m:r>
          </m:e>
          <m:sub>
            <m:d>
              <m:dPr>
                <m:begChr m:val="("/>
                <m:sepChr m:val=""/>
                <m:endChr m:val=")"/>
                <m:grow/>
              </m:dPr>
              <m:e>
                <m:r>
                  <m:t>y</m:t>
                </m:r>
                <m:r>
                  <m:t>e</m:t>
                </m:r>
                <m:r>
                  <m:t>a</m:t>
                </m:r>
                <m:r>
                  <m:t>r</m:t>
                </m:r>
              </m:e>
            </m:d>
          </m:sub>
        </m:sSub>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between occasions (interval survival).</w:t>
      </w:r>
      <w:r>
        <w:t xml:space="preserve"> </w:t>
      </w:r>
      <w:r>
        <w:t xml:space="preserve">Finally, we calculated the expected abundance on each occasion using interval survival estimates for the selected model of each site and the initial size of the release cohort.</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0.476 to 0.975 for Snakeden Run and from 0.85 to 0.996 for Glade Run (</w:t>
      </w:r>
      <w:hyperlink w:anchor="tbl-survival">
        <w:r>
          <w:rPr>
            <w:rStyle w:val="Hyperlink"/>
          </w:rPr>
          <w:t xml:space="preserve">Table 2</w:t>
        </w:r>
      </w:hyperlink>
      <w:r>
        <w:t xml:space="preserve">).</w:t>
      </w:r>
      <w:r>
        <w:t xml:space="preserve"> </w:t>
      </w:r>
      <w:r>
        <w:t xml:space="preserve">Interval survival estimates ranged from 0.537 to 0.816 for Snakeden Run and from 0.787 to 0.974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Estimated survival was higher at Glade Run for all occasions.</w:t>
      </w:r>
      <w:r>
        <w:t xml:space="preserve"> </w:t>
      </w:r>
      <w:r>
        <w:t xml:space="preserve">The comparatively high survival at Glade Run was expected based on stream characteristics and conditions observed over the course of the survey.</w:t>
      </w:r>
      <w:r>
        <w:t xml:space="preserve"> </w:t>
      </w:r>
      <w:r>
        <w:t xml:space="preserve">Snakeden Run has noticeably greater channel size, discharge magnitude, gradient, and shear stress compared to Glade Run.</w:t>
      </w:r>
      <w:r>
        <w:t xml:space="preserve"> </w:t>
      </w:r>
      <w:r>
        <w:t xml:space="preserve">We also observed downstream displacement and stranding mortality due to high discharge events at Snakeden Run.</w:t>
      </w:r>
      <w:r>
        <w:t xml:space="preserve"> </w:t>
      </w:r>
      <w:r>
        <w:t xml:space="preserve">On the other hand, displacement at Glade Run was minimal and no stranding mortality was observed.</w:t>
      </w:r>
    </w:p>
    <w:p>
      <w:pPr>
        <w:pStyle w:val="BodyText"/>
      </w:pPr>
      <w:r>
        <w:t xml:space="preserve">Abundance estimates seem to match naive estimates of abundance based on the raw number of mussels observed alive at each occasion.</w:t>
      </w:r>
      <w:r>
        <w:t xml:space="preserve"> </w:t>
      </w:r>
      <w:r>
        <w:t xml:space="preserve">On the last sampling occasion, we observed 258 and 43 live mussels at Glade Run and Snakeden Run, respectively.</w:t>
      </w:r>
      <w:r>
        <w:t xml:space="preserve"> </w:t>
      </w:r>
      <w:r>
        <w:t xml:space="preserve">Assuming that survival estimates from the Burnham model are true, this would suggest that we observed approximately 44% of mussels at Glade Run and 39%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 and Glade: 48%).</w:t>
      </w:r>
      <w:r>
        <w:t xml:space="preserve"> </w:t>
      </w:r>
      <w:r>
        <w:t xml:space="preserve">This is not surprising since the mark-recapture estimates account for the probabilities of both detecting a live mussel (</w:t>
      </w:r>
      <m:oMath>
        <m:r>
          <m:t>p</m:t>
        </m:r>
      </m:oMath>
      <w:r>
        <w:t xml:space="preserve">) and recovering a dead mussel (</w:t>
      </w:r>
      <m:oMath>
        <m:r>
          <m:t>r</m:t>
        </m:r>
      </m:oMath>
      <w:r>
        <w:t xml:space="preserve">),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 were untagged at Snakeden Run and 5.3% at Glade Run, suggesting at least some tag loss.</w:t>
      </w:r>
      <w:r>
        <w:t xml:space="preserve"> </w:t>
      </w:r>
      <w:r>
        <w:t xml:space="preserve">Individuals with lost tags are modeled as if they were not seen again, which can have the effect of underestimating survival (</w:t>
      </w:r>
      <w:r>
        <w:t xml:space="preserve">Nelson, Anderson, and Burnham (1980)</w:t>
      </w:r>
      <w:r>
        <w:t xml:space="preserve">,</w:t>
      </w:r>
      <w:r>
        <w:t xml:space="preserve"> </w:t>
      </w:r>
      <w:r>
        <w:t xml:space="preserve">Diefenbach and Alt (1998)</w:t>
      </w:r>
      <w:r>
        <w:t xml:space="preserve">,</w:t>
      </w:r>
      <w:r>
        <w:t xml:space="preserve"> </w:t>
      </w:r>
      <w:r>
        <w:t xml:space="preserve">Touzalin et al. (2023)</w:t>
      </w:r>
      <w:r>
        <w:t xml:space="preserve">).</w:t>
      </w:r>
      <w:r>
        <w:t xml:space="preserve"> </w:t>
      </w:r>
      <w:r>
        <w:t xml:space="preserve">If our survival estimates are negatively biased, the true abundance on the last occasion would be correspondingly higher and detectability on the last occasion would be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Interval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using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Sampling dates for mark-recapture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Survival for intervals between sampling occasions as estimated from the selected Burnham joint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91"/>
              <w:gridCol w:w="1631"/>
              <w:gridCol w:w="705"/>
              <w:gridCol w:w="510"/>
              <w:gridCol w:w="510"/>
              <w:gridCol w:w="510"/>
              <w:gridCol w:w="705"/>
              <w:gridCol w:w="510"/>
              <w:gridCol w:w="510"/>
              <w:gridCol w:w="510"/>
            </w:tblGrid>
            <w:tr>
              <w:trPr>
                <w:trHeight w:val="270"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Interval Survival</w:t>
                  </w:r>
                </w:p>
              </w:tc>
            </w:tr>
            <w:tr>
              <w:trPr>
                <w:trHeight w:val="270"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r>
            <w:tr>
              <w:trPr>
                <w:trHeight w:val="256"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0.980</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r>
            <w:tr>
              <w:trPr>
                <w:trHeight w:val="263"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0.775</w:t>
                  </w:r>
                </w:p>
              </w:tc>
            </w:tr>
            <w:tr>
              <w:trPr>
                <w:trHeight w:val="263"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0.769</w:t>
                  </w:r>
                </w:p>
              </w:tc>
            </w:tr>
            <w:tr>
              <w:trPr>
                <w:trHeight w:val="270"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the initial release cohort on each sampling occasion. Based on interval survival estimates from the selected Burnham joint model and initial number of mussels released.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887"/>
              <w:gridCol w:w="1531"/>
              <w:gridCol w:w="1548"/>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51" w:name="references"/>
    <w:p>
      <w:pPr>
        <w:pStyle w:val="Heading1"/>
      </w:pPr>
      <w:r>
        <w:t xml:space="preserve">6. References</w:t>
      </w:r>
    </w:p>
    <w:bookmarkStart w:id="50"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ref-burnham_1993_TheoryCombinedAnalysis"/>
    <w:p>
      <w:pPr>
        <w:pStyle w:val="Bibliography"/>
      </w:pPr>
      <w:r>
        <w:t xml:space="preserve">Burnham, Kenneth P. 1993.</w:t>
      </w:r>
      <w:r>
        <w:t xml:space="preserve"> </w:t>
      </w:r>
      <w:r>
        <w:t xml:space="preserve">“A Theory for Combined Analysis of Ring Recovery and Recapture Data.”</w:t>
      </w:r>
      <w:r>
        <w:t xml:space="preserve"> </w:t>
      </w:r>
      <w:r>
        <w:t xml:space="preserve">In</w:t>
      </w:r>
      <w:r>
        <w:t xml:space="preserve"> </w:t>
      </w:r>
      <w:r>
        <w:rPr>
          <w:i/>
          <w:iCs/>
        </w:rPr>
        <w:t xml:space="preserve">Marked Individuals in the Study of Bird Population</w:t>
      </w:r>
      <w:r>
        <w:t xml:space="preserve">, edited by Jean-Dominique Lebreton and P M North, 199–213. Basel, Switzerland: Birkhäuser Verlag.</w:t>
      </w:r>
    </w:p>
    <w:bookmarkEnd w:id="40"/>
    <w:bookmarkStart w:id="41"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1"/>
    <w:bookmarkStart w:id="43" w:name="X94b0a13f2133c462f2cb4b50072d82104e6a7f0"/>
    <w:p>
      <w:pPr>
        <w:pStyle w:val="Bibliography"/>
      </w:pPr>
      <w:r>
        <w:t xml:space="preserve">Diefenbach, Duane R., and Gary L. Alt. 1998.</w:t>
      </w:r>
      <w:r>
        <w:t xml:space="preserve"> </w:t>
      </w:r>
      <w:r>
        <w:t xml:space="preserve">“Modeling and</w:t>
      </w:r>
      <w:r>
        <w:t xml:space="preserve"> </w:t>
      </w:r>
      <w:r>
        <w:t xml:space="preserve">Evaluation</w:t>
      </w:r>
      <w:r>
        <w:t xml:space="preserve"> </w:t>
      </w:r>
      <w:r>
        <w:t xml:space="preserve">of</w:t>
      </w:r>
      <w:r>
        <w:t xml:space="preserve"> </w:t>
      </w:r>
      <w:r>
        <w:t xml:space="preserve">Ear Tag Loss</w:t>
      </w:r>
      <w:r>
        <w:t xml:space="preserve"> </w:t>
      </w:r>
      <w:r>
        <w:t xml:space="preserve">in</w:t>
      </w:r>
      <w:r>
        <w:t xml:space="preserve"> </w:t>
      </w:r>
      <w:r>
        <w:t xml:space="preserve">Black Bears</w:t>
      </w:r>
      <w:r>
        <w:t xml:space="preserve">.”</w:t>
      </w:r>
      <w:r>
        <w:t xml:space="preserve"> </w:t>
      </w:r>
      <w:r>
        <w:rPr>
          <w:i/>
          <w:iCs/>
        </w:rPr>
        <w:t xml:space="preserve">The Journal of Wildlife Management</w:t>
      </w:r>
      <w:r>
        <w:t xml:space="preserve"> </w:t>
      </w:r>
      <w:r>
        <w:t xml:space="preserve">62 (4): 1292–1300.</w:t>
      </w:r>
      <w:r>
        <w:t xml:space="preserve"> </w:t>
      </w:r>
      <w:hyperlink r:id="rId42">
        <w:r>
          <w:rPr>
            <w:rStyle w:val="Hyperlink"/>
          </w:rPr>
          <w:t xml:space="preserve">https://doi.org/10.2307/3801993</w:t>
        </w:r>
      </w:hyperlink>
      <w:r>
        <w:t xml:space="preserve">.</w:t>
      </w:r>
    </w:p>
    <w:bookmarkEnd w:id="43"/>
    <w:bookmarkStart w:id="45" w:name="ref-nelson.etal_1980_EffectBandLoss"/>
    <w:p>
      <w:pPr>
        <w:pStyle w:val="Bibliography"/>
      </w:pPr>
      <w:r>
        <w:t xml:space="preserve">Nelson, Louis J., David R. Anderson, and Kenneth P. Burnham. 1980.</w:t>
      </w:r>
      <w:r>
        <w:t xml:space="preserve"> </w:t>
      </w:r>
      <w:r>
        <w:t xml:space="preserve">“The</w:t>
      </w:r>
      <w:r>
        <w:t xml:space="preserve"> </w:t>
      </w:r>
      <w:r>
        <w:t xml:space="preserve">Effect</w:t>
      </w:r>
      <w:r>
        <w:t xml:space="preserve"> </w:t>
      </w:r>
      <w:r>
        <w:t xml:space="preserve">of</w:t>
      </w:r>
      <w:r>
        <w:t xml:space="preserve"> </w:t>
      </w:r>
      <w:r>
        <w:t xml:space="preserve">Band Loss</w:t>
      </w:r>
      <w:r>
        <w:t xml:space="preserve"> </w:t>
      </w:r>
      <w:r>
        <w:t xml:space="preserve">on</w:t>
      </w:r>
      <w:r>
        <w:t xml:space="preserve"> </w:t>
      </w:r>
      <w:r>
        <w:t xml:space="preserve">Estimates</w:t>
      </w:r>
      <w:r>
        <w:t xml:space="preserve"> </w:t>
      </w:r>
      <w:r>
        <w:t xml:space="preserve">of</w:t>
      </w:r>
      <w:r>
        <w:t xml:space="preserve"> </w:t>
      </w:r>
      <w:r>
        <w:t xml:space="preserve">Annual Survival</w:t>
      </w:r>
      <w:r>
        <w:t xml:space="preserve">.”</w:t>
      </w:r>
      <w:r>
        <w:t xml:space="preserve"> </w:t>
      </w:r>
      <w:r>
        <w:rPr>
          <w:i/>
          <w:iCs/>
        </w:rPr>
        <w:t xml:space="preserve">Journal of Field Ornithology</w:t>
      </w:r>
      <w:r>
        <w:t xml:space="preserve"> </w:t>
      </w:r>
      <w:r>
        <w:t xml:space="preserve">51 (1): 30–38.</w:t>
      </w:r>
      <w:r>
        <w:t xml:space="preserve"> </w:t>
      </w:r>
      <w:hyperlink r:id="rId44">
        <w:r>
          <w:rPr>
            <w:rStyle w:val="Hyperlink"/>
          </w:rPr>
          <w:t xml:space="preserve">https://www.jstor.org/stable/4512514</w:t>
        </w:r>
      </w:hyperlink>
      <w:r>
        <w:t xml:space="preserve">.</w:t>
      </w:r>
    </w:p>
    <w:bookmarkEnd w:id="45"/>
    <w:bookmarkStart w:id="46"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6"/>
    <w:bookmarkStart w:id="48" w:name="ref-touzalin.etal_2023_MarkLossCan"/>
    <w:p>
      <w:pPr>
        <w:pStyle w:val="Bibliography"/>
      </w:pPr>
      <w:r>
        <w:t xml:space="preserve">Touzalin, Frédéric, Eric J. Petit, Emmanuelle Cam, Claire Stagier, Emma C. Teeling, and Sébastien J. Puechmaille. 2023.</w:t>
      </w:r>
      <w:r>
        <w:t xml:space="preserve"> </w:t>
      </w:r>
      <w:r>
        <w:t xml:space="preserve">“Mark Loss Can Strongly Bias Estimates of Demographic Rates in Multi-State Models: A Case Study with Simulated and Empirical Datasets.”</w:t>
      </w:r>
      <w:r>
        <w:t xml:space="preserve"> </w:t>
      </w:r>
      <w:r>
        <w:rPr>
          <w:i/>
          <w:iCs/>
        </w:rPr>
        <w:t xml:space="preserve">Peer Community Journal</w:t>
      </w:r>
      <w:r>
        <w:t xml:space="preserve"> </w:t>
      </w:r>
      <w:r>
        <w:t xml:space="preserve">3 (December).</w:t>
      </w:r>
      <w:r>
        <w:t xml:space="preserve"> </w:t>
      </w:r>
      <w:hyperlink r:id="rId47">
        <w:r>
          <w:rPr>
            <w:rStyle w:val="Hyperlink"/>
          </w:rPr>
          <w:t xml:space="preserve">https://doi.org/10.24072/pcjournal.348</w:t>
        </w:r>
      </w:hyperlink>
      <w:r>
        <w:t xml:space="preserve">.</w:t>
      </w:r>
    </w:p>
    <w:bookmarkEnd w:id="48"/>
    <w:bookmarkStart w:id="49"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9"/>
    <w:bookmarkEnd w:id="50"/>
    <w:bookmarkEnd w:id="51"/>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hyperlink" Id="rId42" Target="https://doi.org/10.2307/3801993" TargetMode="External" /><Relationship Type="http://schemas.openxmlformats.org/officeDocument/2006/relationships/hyperlink" Id="rId47" Target="https://doi.org/10.24072/pcjournal.348" TargetMode="External" /><Relationship Type="http://schemas.openxmlformats.org/officeDocument/2006/relationships/hyperlink" Id="rId44" Target="https://www.jstor.org/stable/4512514"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2307/3801993" TargetMode="External" /><Relationship Type="http://schemas.openxmlformats.org/officeDocument/2006/relationships/hyperlink" Id="rId47" Target="https://doi.org/10.24072/pcjournal.348" TargetMode="External" /><Relationship Type="http://schemas.openxmlformats.org/officeDocument/2006/relationships/hyperlink" Id="rId44" Target="https://www.jstor.org/stable/4512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2026-06-24T15:44:22Z</dcterms:created>
  <dcterms:modified xsi:type="dcterms:W3CDTF">2026-06-24T15:44:22Z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