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Reston Mark-Recapture Methods</w:t>
      </w:r>
    </w:p>
    <w:bookmarkStart w:id="23" w:name="methods"/>
    <w:p>
      <w:pPr>
        <w:pStyle w:val="Heading1"/>
      </w:pPr>
      <w:r>
        <w:t xml:space="preserve">1. Methods</w:t>
      </w:r>
    </w:p>
    <w:bookmarkStart w:id="20" w:name="mark-recapture-sampling"/>
    <w:p>
      <w:pPr>
        <w:pStyle w:val="Heading2"/>
      </w:pPr>
      <w:r>
        <w:t xml:space="preserve">1.1 Mark-recapture sampling</w:t>
      </w:r>
    </w:p>
    <w:p>
      <w:pPr>
        <w:pStyle w:val="FirstParagraph"/>
      </w:pPr>
      <w:r>
        <w:t xml:space="preserve">We released a total of 2802 adult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at two second-order tributaries to the Potomac River.</w:t>
      </w:r>
      <w:r>
        <w:t xml:space="preserve"> </w:t>
      </w:r>
      <w:r>
        <w:t xml:space="preserve">We released 1224 at Glade Run (38.93031, -77.34245) on July 26, 2023, and 1578 at Snakeden Run (38.9238, -77.33168) on July 27.</w:t>
      </w:r>
      <w:r>
        <w:t xml:space="preserve"> </w:t>
      </w:r>
      <w:r>
        <w:t xml:space="preserve">All releases were uniquely tagged with Hallprint glue-on shellfish tags such that the individual mussel could be later identified.</w:t>
      </w:r>
      <w:r>
        <w:t xml:space="preserve"> </w:t>
      </w:r>
      <w:r>
        <w:t xml:space="preserve">Each site was later sampled a total of eight times from July 2023 to September 2024</w:t>
      </w:r>
      <w:r>
        <w:t xml:space="preserve"> </w:t>
      </w:r>
      <w:r>
        <w:t xml:space="preserve">We sampled the entire area of the site twice by snorkeling (TODO Add table of dates here?).</w:t>
      </w:r>
      <w:r>
        <w:t xml:space="preserve"> </w:t>
      </w:r>
      <w:r>
        <w:t xml:space="preserve">For each mussel encountered, we measured its overall length and recorded the unique tag number.</w:t>
      </w:r>
      <w:r>
        <w:t xml:space="preserve"> </w:t>
      </w:r>
      <w:r>
        <w:t xml:space="preserve">Any untagged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found on these occasions were tagged.</w:t>
      </w:r>
      <w:r>
        <w:t xml:space="preserve"> </w:t>
      </w:r>
      <w:r>
        <w:t xml:space="preserve">Becuase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did not occur at either site prior to the 2023 release, these untagged individuals represented previously tagged mussels whose tags were lost.</w:t>
      </w:r>
    </w:p>
    <w:bookmarkEnd w:id="20"/>
    <w:bookmarkStart w:id="21" w:name="popan-description"/>
    <w:p>
      <w:pPr>
        <w:pStyle w:val="Heading2"/>
      </w:pPr>
      <w:r>
        <w:t xml:space="preserve">1.2 POPAN description</w:t>
      </w:r>
    </w:p>
    <w:p>
      <w:pPr>
        <w:pStyle w:val="FirstParagraph"/>
      </w:pPr>
      <w:r>
        <w:t xml:space="preserve">We were interested primarily in estimating survival of the release cohort over time.</w:t>
      </w:r>
      <w:r>
        <w:t xml:space="preserve"> </w:t>
      </w:r>
      <w:r>
        <w:t xml:space="preserve">Because we also found a high proportion of dead mussels during sampling, we used Burnham’s joint recovery model which incorporates both live encounters and dead recoveries (</w:t>
      </w:r>
      <w:r>
        <w:t xml:space="preserve">(</w:t>
      </w:r>
      <w:r>
        <w:rPr>
          <w:b/>
          <w:bCs/>
        </w:rPr>
        <w:t xml:space="preserve">BURNHAM?</w:t>
      </w:r>
      <w:r>
        <w:t xml:space="preserve">)</w:t>
      </w:r>
      <w:r>
        <w:t xml:space="preserve"> </w:t>
      </w:r>
      <w:r>
        <w:t xml:space="preserve">1993) to analyze our mark-recapture data.</w:t>
      </w:r>
      <w:r>
        <w:t xml:space="preserve"> </w:t>
      </w:r>
      <w:r>
        <w:t xml:space="preserve">The Burnham model is an open population model that allows for the estimation of both apparent survival and population size.</w:t>
      </w:r>
      <w:r>
        <w:t xml:space="preserve"> </w:t>
      </w:r>
      <w:r>
        <w:t xml:space="preserve">It has four model parameters that are directly estimated: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: probability of an individual surviving from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probability of an individual being captured alive at occasion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: probability of an individual being recovered dead between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: probability of an individual remaining in the sample area (i.e., fidelity)</w:t>
      </w:r>
    </w:p>
    <w:p>
      <w:pPr>
        <w:pStyle w:val="FirstParagraph"/>
      </w:pPr>
      <w:r>
        <w:t xml:space="preserve">Because the area for dead and live recoveries was the same, we fixed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1 for all occasions.</w:t>
      </w:r>
    </w:p>
    <w:bookmarkEnd w:id="21"/>
    <w:bookmarkStart w:id="22" w:name="data-analysis"/>
    <w:p>
      <w:pPr>
        <w:pStyle w:val="Heading2"/>
      </w:pPr>
      <w:r>
        <w:t xml:space="preserve">1.3 Data Analysis</w:t>
      </w:r>
    </w:p>
    <w:p>
      <w:pPr>
        <w:pStyle w:val="FirstParagraph"/>
      </w:pPr>
      <w:r>
        <w:t xml:space="preserve">Release data for the 2023 cohort were combined with data from the eight sampling occasions in 2024 and 2025.</w:t>
      </w:r>
      <w:r>
        <w:t xml:space="preserve"> </w:t>
      </w:r>
      <w:r>
        <w:t xml:space="preserve">A set of candidate models were developed under the Burnham model for estimating.</w:t>
      </w:r>
      <w:r>
        <w:t xml:space="preserve"> </w:t>
      </w:r>
      <w:r>
        <w:t xml:space="preserve">Each candidate model represents a set of hypotheses regarding the four model parameters of the Burnham model (e.g., survival varies over time or is constant).</w:t>
      </w:r>
      <w:r>
        <w:t xml:space="preserve"> </w:t>
      </w:r>
      <w:r>
        <w:t xml:space="preserve">For all models,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(fidelity) was fixed to 1.</w:t>
      </w:r>
      <w:r>
        <w:t xml:space="preserve"> </w:t>
      </w:r>
      <w:r>
        <w:t xml:space="preserve">We constructed candidate models where: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varied between each sampling occasion (</w:t>
      </w:r>
      <m:oMath>
        <m:r>
          <m:t>t</m:t>
        </m:r>
      </m:oMath>
      <w:r>
        <w:t xml:space="preserve">), was constant between all occasions(</w:t>
      </w:r>
      <m:oMath>
        <m:r>
          <m:rPr>
            <m:sty m:val="p"/>
          </m:rPr>
          <m:t>.</m:t>
        </m:r>
      </m:oMath>
      <w:r>
        <w:t xml:space="preserve">),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),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</m:oMath>
      <w:r>
        <w:t xml:space="preserve"> </w:t>
      </w:r>
      <w:r>
        <w:t xml:space="preserve">was constant over all occasions(</w:t>
      </w:r>
      <m:oMath>
        <m:r>
          <m:rPr>
            <m:sty m:val="p"/>
          </m:rPr>
          <m:t>.</m:t>
        </m:r>
      </m:oMath>
      <w:r>
        <w:t xml:space="preserve">)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),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t xml:space="preserve"> </w:t>
      </w:r>
      <w:r>
        <w:t xml:space="preserve">was constant over all occasions(</w:t>
      </w:r>
      <m:oMath>
        <m:r>
          <m:rPr>
            <m:sty m:val="p"/>
          </m:rPr>
          <m:t>.</m:t>
        </m:r>
      </m:oMath>
      <w:r>
        <w:t xml:space="preserve">)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).</w:t>
      </w:r>
    </w:p>
    <w:p>
      <w:pPr>
        <w:pStyle w:val="FirstParagraph"/>
      </w:pPr>
      <w:r>
        <w:t xml:space="preserve">This resulted in 12 total models in the candidate model set.</w:t>
      </w:r>
      <w:r>
        <w:t xml:space="preserve"> </w:t>
      </w:r>
      <w:r>
        <w:t xml:space="preserve">We analyzed each site separately because there was limited connectivity between sites.</w:t>
      </w:r>
    </w:p>
    <w:p>
      <w:pPr>
        <w:pStyle w:val="BodyText"/>
      </w:pPr>
      <w:r>
        <w:t xml:space="preserve">For each site, we analyzed our set of candidate models using Program MARK (</w:t>
      </w:r>
      <w:r>
        <w:t xml:space="preserve">White and Burnham (1999)</w:t>
      </w:r>
      <w:r>
        <w:t xml:space="preserve">) to determine which model had the highest likelihood using an information criteria approach that balances the goodness-of-fit with model complexity to rank the models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We used RMARK (an R package that runs MARK) to build and analyze models.</w:t>
      </w:r>
      <w:r>
        <w:t xml:space="preserve"> </w:t>
      </w:r>
      <w:r>
        <w:t xml:space="preserve">The likelihood of each candidate model was calculated using Akaike’s Information Criterion (AIC) (</w:t>
      </w:r>
      <w:r>
        <w:t xml:space="preserve">Akaike (1973)</w:t>
      </w:r>
      <w:r>
        <w:t xml:space="preserve">) modified for small sample sizes (AICc) (</w:t>
      </w:r>
      <w:r>
        <w:t xml:space="preserve">Sugiura (1978)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𝐴</m:t>
          </m:r>
          <m:r>
            <m:t>𝐼</m:t>
          </m:r>
          <m:r>
            <m:t>𝐶</m:t>
          </m:r>
          <m:r>
            <m:t>𝑐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l</m:t>
          </m:r>
          <m:r>
            <m:t>o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𝐿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̂</m:t>
                      </m:r>
                    </m:e>
                  </m:acc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𝐾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𝐾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𝑛</m:t>
              </m:r>
              <m:r>
                <m:rPr>
                  <m:sty m:val="p"/>
                </m:rPr>
                <m:t>−</m:t>
              </m:r>
              <m:r>
                <m:t>𝐾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𝐿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  <m:r>
                  <m:rPr>
                    <m:sty m:val="p"/>
                  </m:rPr>
                  <m:t>̂</m:t>
                </m:r>
              </m:e>
            </m:acc>
          </m:e>
        </m:d>
      </m:oMath>
      <w:r>
        <w:t xml:space="preserve"> </w:t>
      </w:r>
      <w:r>
        <w:t xml:space="preserve">is the likelihood of the parameter estimates, given the data,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parameters,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  <w:r>
        <w:t xml:space="preserve"> </w:t>
      </w:r>
      <w:r>
        <w:t xml:space="preserve">Normally, the best model is the one with the lowest</w:t>
      </w:r>
      <w:r>
        <w:t xml:space="preserve"> </w:t>
      </w:r>
      <m:oMath>
        <m:r>
          <m:t>A</m:t>
        </m:r>
        <m:r>
          <m:t>I</m:t>
        </m:r>
        <m:r>
          <m:t>C</m:t>
        </m:r>
        <m:r>
          <m:t>c</m:t>
        </m:r>
      </m:oMath>
      <w:r>
        <w:t xml:space="preserve"> </w:t>
      </w:r>
      <w:r>
        <w:t xml:space="preserve">score and other models are considered competing if</w:t>
      </w:r>
      <w:r>
        <w:t xml:space="preserve"> </w:t>
      </w:r>
      <m:oMath>
        <m:r>
          <m:t>Δ</m:t>
        </m:r>
        <m:r>
          <m:t>A</m:t>
        </m:r>
        <m:r>
          <m:t>I</m:t>
        </m:r>
        <m:r>
          <m:t>C</m:t>
        </m:r>
      </m:oMath>
      <w:r>
        <w:t xml:space="preserve"> </w:t>
      </w:r>
      <w:r>
        <w:t xml:space="preserve">&lt;2.0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Based on this analysis, we selected the preferred model.</w:t>
      </w:r>
    </w:p>
    <w:p>
      <w:pPr>
        <w:pStyle w:val="BodyText"/>
      </w:pPr>
      <w:r>
        <w:t xml:space="preserve">Finally, we calculated the expected abundance using survival estimates for the selected model of each site.</w:t>
      </w:r>
      <w:r>
        <w:t xml:space="preserve"> </w:t>
      </w:r>
      <w:r>
        <w:t xml:space="preserve">The Burnham model does not directly calculate abundance as either a real or derived parameter.</w:t>
      </w:r>
      <w:r>
        <w:t xml:space="preserve"> </w:t>
      </w:r>
      <w:r>
        <w:t xml:space="preserve">For this study, we were tracking a single release cohort over time.</w:t>
      </w:r>
      <w:r>
        <w:t xml:space="preserve"> </w:t>
      </w:r>
      <w:r>
        <w:t xml:space="preserve">Consequently we calculated the expected abundance using survival estimates from the selected model of each site.</w:t>
      </w:r>
      <w:r>
        <w:t xml:space="preserve"> 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</m:oMath>
    </w:p>
    <w:p>
      <w:r>
        <w:br w:type="page"/>
      </w:r>
    </w:p>
    <w:bookmarkEnd w:id="22"/>
    <w:bookmarkEnd w:id="23"/>
    <w:bookmarkStart w:id="29" w:name="references"/>
    <w:p>
      <w:pPr>
        <w:pStyle w:val="Heading1"/>
      </w:pPr>
      <w:r>
        <w:t xml:space="preserve">2. References</w:t>
      </w:r>
    </w:p>
    <w:bookmarkStart w:id="28" w:name="refs"/>
    <w:bookmarkStart w:id="24" w:name="X437bd82681b6244afc723f1058a320799156d9d"/>
    <w:p>
      <w:pPr>
        <w:pStyle w:val="Bibliography"/>
      </w:pPr>
      <w:r>
        <w:t xml:space="preserve">Akaike, Hirotugu. 1973.</w:t>
      </w:r>
      <w:r>
        <w:t xml:space="preserve"> </w:t>
      </w:r>
      <w:r>
        <w:t xml:space="preserve">“Information Theory as an Extension of the Maximum Likelihood Principle.”</w:t>
      </w:r>
      <w:r>
        <w:t xml:space="preserve"> In</w:t>
      </w:r>
      <w:r>
        <w:t xml:space="preserve"> </w:t>
      </w:r>
      <w:r>
        <w:rPr>
          <w:i/>
          <w:iCs/>
        </w:rPr>
        <w:t xml:space="preserve">Second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Symposium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Theory</w:t>
      </w:r>
      <w:r>
        <w:t xml:space="preserve">, edited by B N Petrov and F Cazakil, 267–81. Budapest, Hungary: Akademiai Kidao.</w:t>
      </w:r>
    </w:p>
    <w:bookmarkEnd w:id="24"/>
    <w:bookmarkStart w:id="25" w:name="X3d765049c0b9d139b2bf4c37083a4031b8ade27"/>
    <w:p>
      <w:pPr>
        <w:pStyle w:val="Bibliography"/>
      </w:pPr>
      <w:r>
        <w:t xml:space="preserve">Burnham, Kenneth P, and David R Anderson. 2002.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Selection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Multimodel Inference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Information-Theoretic Approach</w:t>
      </w:r>
      <w:r>
        <w:t xml:space="preserve">. 2nd ed. New York: Springer-Verlag.</w:t>
      </w:r>
    </w:p>
    <w:bookmarkEnd w:id="25"/>
    <w:bookmarkStart w:id="26" w:name="ref-sugiura_1978_FurtherAnalysisData"/>
    <w:p>
      <w:pPr>
        <w:pStyle w:val="Bibliography"/>
      </w:pPr>
      <w:r>
        <w:t xml:space="preserve">Sugiura, Nariaki. 1978.</w:t>
      </w:r>
      <w:r>
        <w:t xml:space="preserve"> </w:t>
      </w:r>
      <w:r>
        <w:t xml:space="preserve">“Further Analysis of the Data by</w:t>
      </w:r>
      <w:r>
        <w:t xml:space="preserve"> </w:t>
      </w:r>
      <w:r>
        <w:t xml:space="preserve">Akaike</w:t>
      </w:r>
      <w:r>
        <w:t xml:space="preserve">’s Information Criterion and the Finite Corrections: Further Analysis of the Data by</w:t>
      </w:r>
      <w:r>
        <w:t xml:space="preserve"> </w:t>
      </w:r>
      <w:r>
        <w:t xml:space="preserve">Akaike</w:t>
      </w:r>
      <w:r>
        <w:t xml:space="preserve">’s.”</w:t>
      </w:r>
      <w:r>
        <w:t xml:space="preserve"> </w:t>
      </w:r>
      <w:r>
        <w:rPr>
          <w:i/>
          <w:iCs/>
        </w:rPr>
        <w:t xml:space="preserve">Communications in Statistics-Theory and Methods</w:t>
      </w:r>
      <w:r>
        <w:t xml:space="preserve"> </w:t>
      </w:r>
      <w:r>
        <w:t xml:space="preserve">7 (1): 13–26.</w:t>
      </w:r>
    </w:p>
    <w:bookmarkEnd w:id="26"/>
    <w:bookmarkStart w:id="27" w:name="Xe040a3ee9170c3970aba188ecc23934f91c03aa"/>
    <w:p>
      <w:pPr>
        <w:pStyle w:val="Bibliography"/>
      </w:pPr>
      <w:r>
        <w:t xml:space="preserve">White, Gary C, and Kenneth P Burnham. 1999.</w:t>
      </w:r>
      <w:r>
        <w:t xml:space="preserve"> </w:t>
      </w:r>
      <w:r>
        <w:t xml:space="preserve">“Program</w:t>
      </w:r>
      <w:r>
        <w:t xml:space="preserve"> </w:t>
      </w:r>
      <w:r>
        <w:t xml:space="preserve">MARK</w:t>
      </w:r>
      <w:r>
        <w:t xml:space="preserve">: Survival Estimation from Populations of Marked Animals.”</w:t>
      </w:r>
      <w:r>
        <w:t xml:space="preserve"> </w:t>
      </w:r>
      <w:r>
        <w:rPr>
          <w:i/>
          <w:iCs/>
        </w:rPr>
        <w:t xml:space="preserve">Bird Study</w:t>
      </w:r>
      <w:r>
        <w:t xml:space="preserve"> </w:t>
      </w:r>
      <w:r>
        <w:t xml:space="preserve">46 (S1): S120–39.</w:t>
      </w:r>
    </w:p>
    <w:bookmarkEnd w:id="27"/>
    <w:bookmarkEnd w:id="28"/>
    <w:bookmarkEnd w:id="29"/>
    <w:sectPr w:rsidR="00532B75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efaultTableStyle w:val="QuartoStyl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8D2"/>
    <w:rsid w:val="003E3AA1"/>
    <w:rsid w:val="005210FC"/>
    <w:rsid w:val="00532B75"/>
    <w:rsid w:val="00571F4E"/>
    <w:rsid w:val="00A648D2"/>
    <w:rsid w:val="00BE5BC1"/>
    <w:rsid w:val="00C71F29"/>
    <w:rsid w:val="00F4449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648D2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A648D2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A648D2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648D2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648D2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A648D2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648D2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A648D2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A648D2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648D2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648D2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648D2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648D2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648D2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648D2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648D2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648D2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648D2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648D2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648D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648D2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648D2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648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648D2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648D2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648D2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648D2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648D2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648D2"/>
    <w:rPr>
      <w:b/>
      <w:bCs/>
      <w:smallCaps/>
      <w:color w:themeColor="accent1" w:themeShade="BF" w:val="0F4761"/>
      <w:spacing w:val="5"/>
    </w:rPr>
  </w:style>
  <w:style w:styleId="TableGrid" w:type="table">
    <w:name w:val="Table Grid"/>
    <w:basedOn w:val="TableNormal"/>
    <w:uiPriority w:val="39"/>
    <w:rsid w:val="005210F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-Accent1" w:type="table">
    <w:name w:val="Grid Table 4 Accent 1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  <w:insideV w:color="45B0E1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val="nil"/>
          <w:insideV w:val="nil"/>
        </w:tcBorders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156082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4" w:type="table">
    <w:name w:val="Grid Table 4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QuartoStyle" w:type="table">
    <w:name w:val="Quarto Style"/>
    <w:basedOn w:val="TableNormal"/>
    <w:uiPriority w:val="99"/>
    <w:rsid w:val="003E3AA1"/>
    <w:pPr>
      <w:spacing w:after="0" w:line="240" w:lineRule="auto"/>
    </w:pPr>
    <w:tblPr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Reston Mark-Recapture Methods</dc:title>
  <dc:creator/>
  <cp:keywords/>
  <dcterms:created xsi:type="dcterms:W3CDTF">2026-06-22T13:56:27Z</dcterms:created>
  <dcterms:modified xsi:type="dcterms:W3CDTF">2026-06-22T13:56:27Z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sections/references.bib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