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0E95" w14:textId="77777777" w:rsidR="003A5826" w:rsidRDefault="00000000">
      <w:pPr>
        <w:pStyle w:val="Title"/>
      </w:pPr>
      <w:r>
        <w:t>Reston Mark-Recapture Methods</w:t>
      </w:r>
    </w:p>
    <w:p w14:paraId="5E7933DB" w14:textId="77777777" w:rsidR="003A5826" w:rsidRDefault="00000000">
      <w:pPr>
        <w:pStyle w:val="Heading1"/>
      </w:pPr>
      <w:bookmarkStart w:id="0" w:name="methods"/>
      <w:r>
        <w:t>1. Methods</w:t>
      </w:r>
    </w:p>
    <w:p w14:paraId="6AC74E92" w14:textId="77777777" w:rsidR="003A5826" w:rsidRDefault="00000000">
      <w:pPr>
        <w:pStyle w:val="Heading2"/>
      </w:pPr>
      <w:bookmarkStart w:id="1" w:name="mark-recapture-sampling"/>
      <w:r>
        <w:t>1.1 Mark-recapture sampling</w:t>
      </w:r>
    </w:p>
    <w:p w14:paraId="7B1E1419" w14:textId="77777777" w:rsidR="003A5826" w:rsidRDefault="00000000">
      <w:r>
        <w:t xml:space="preserve">We released a total of 2802 adult </w:t>
      </w:r>
      <w:r>
        <w:rPr>
          <w:i/>
          <w:iCs/>
        </w:rPr>
        <w:t>Elliptio complanata</w:t>
      </w:r>
      <w:r>
        <w:t xml:space="preserve"> at two second-order tributaries to the Potomac River. We released 1224 mussels at Glade Run (38.93031, -77.34245) on July 26, 2023, and 1578 mussels at Snakeden Run (38.9238, -77.33168) on July 27. All releases were uniquely tagged with Hallprint glue-on shellfish tags such that the individual mussel could be later identified. The entire area of each site was later sampled a total of eight times from July 2023 to September 2024 (</w:t>
      </w:r>
      <w:hyperlink w:anchor="tbl-occasions">
        <w:r>
          <w:t>Table 1</w:t>
        </w:r>
      </w:hyperlink>
      <w:r>
        <w:t xml:space="preserve">) via a combination of mask and snorkel searches, view scopes, visual inspection of shallow areas, and manual substrate searches. For each mussel encountered, we measured its overall length and recorded the unique tag number. Any untagged </w:t>
      </w:r>
      <w:r>
        <w:rPr>
          <w:i/>
          <w:iCs/>
        </w:rPr>
        <w:t>Elliptio complanata</w:t>
      </w:r>
      <w:r>
        <w:t xml:space="preserve"> found on these occasions were tagged. Becuase </w:t>
      </w:r>
      <w:r>
        <w:rPr>
          <w:i/>
          <w:iCs/>
        </w:rPr>
        <w:t>Elliptio complanata</w:t>
      </w:r>
      <w:r>
        <w:t xml:space="preserve"> did not occur at either site prior to the 2023 release, these untagged individuals represented previously tagged mussels whose tags were lost.</w:t>
      </w:r>
    </w:p>
    <w:p w14:paraId="4BF5F400" w14:textId="77777777" w:rsidR="003A5826" w:rsidRDefault="00000000">
      <w:pPr>
        <w:pStyle w:val="Heading2"/>
      </w:pPr>
      <w:bookmarkStart w:id="2" w:name="burnham-joint-model-description"/>
      <w:bookmarkEnd w:id="1"/>
      <w:r>
        <w:t>1.2 Burnham joint model description</w:t>
      </w:r>
    </w:p>
    <w:p w14:paraId="359E73A6" w14:textId="77777777" w:rsidR="003A5826" w:rsidRDefault="00000000">
      <w:r>
        <w:t>We were interested primarily in estimating survival of the release cohort over time. Because we also found a high proportion of dead mussels during sampling, we used Burnham’s joint recovery model which incorporates both live encounters and dead recoveries (Burnham (1993)) to analyze our mark-recapture data. The Burnham model is an open population model that allows for the estimation of four model parameters:</w:t>
      </w:r>
    </w:p>
    <w:p w14:paraId="1AC7845E" w14:textId="77777777" w:rsidR="003A5826" w:rsidRDefault="00000000">
      <w:pPr>
        <w:numPr>
          <w:ilvl w:val="0"/>
          <w:numId w:val="2"/>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probability of an individual surviving from occasion </w:t>
      </w:r>
      <m:oMath>
        <m:r>
          <w:rPr>
            <w:rFonts w:ascii="Cambria Math" w:hAnsi="Cambria Math"/>
          </w:rPr>
          <m:t>i</m:t>
        </m:r>
      </m:oMath>
      <w:r>
        <w:t xml:space="preserve"> to </w:t>
      </w:r>
      <m:oMath>
        <m:r>
          <w:rPr>
            <w:rFonts w:ascii="Cambria Math" w:hAnsi="Cambria Math"/>
          </w:rPr>
          <m:t>i</m:t>
        </m:r>
        <m:r>
          <m:rPr>
            <m:sty m:val="p"/>
          </m:rPr>
          <w:rPr>
            <w:rFonts w:ascii="Cambria Math" w:hAnsi="Cambria Math"/>
          </w:rPr>
          <m:t>+</m:t>
        </m:r>
        <m:r>
          <w:rPr>
            <w:rFonts w:ascii="Cambria Math" w:hAnsi="Cambria Math"/>
          </w:rPr>
          <m:t>1</m:t>
        </m:r>
      </m:oMath>
    </w:p>
    <w:p w14:paraId="732DD48D" w14:textId="77777777" w:rsidR="003A5826" w:rsidRDefault="00000000">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probability of an individual being captured alive at occasion </w:t>
      </w:r>
      <m:oMath>
        <m:r>
          <w:rPr>
            <w:rFonts w:ascii="Cambria Math" w:hAnsi="Cambria Math"/>
          </w:rPr>
          <m:t>i</m:t>
        </m:r>
      </m:oMath>
    </w:p>
    <w:p w14:paraId="40400D39" w14:textId="77777777" w:rsidR="003A5826" w:rsidRDefault="00000000">
      <w:pPr>
        <w:numPr>
          <w:ilvl w:val="0"/>
          <w:numId w:val="2"/>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probability of an individual being recovered dead between occasion </w:t>
      </w:r>
      <m:oMath>
        <m:r>
          <w:rPr>
            <w:rFonts w:ascii="Cambria Math" w:hAnsi="Cambria Math"/>
          </w:rPr>
          <m:t>i</m:t>
        </m:r>
      </m:oMath>
      <w:r>
        <w:t xml:space="preserve"> to </w:t>
      </w:r>
      <m:oMath>
        <m:r>
          <w:rPr>
            <w:rFonts w:ascii="Cambria Math" w:hAnsi="Cambria Math"/>
          </w:rPr>
          <m:t>i</m:t>
        </m:r>
        <m:r>
          <m:rPr>
            <m:sty m:val="p"/>
          </m:rPr>
          <w:rPr>
            <w:rFonts w:ascii="Cambria Math" w:hAnsi="Cambria Math"/>
          </w:rPr>
          <m:t>+</m:t>
        </m:r>
        <m:r>
          <w:rPr>
            <w:rFonts w:ascii="Cambria Math" w:hAnsi="Cambria Math"/>
          </w:rPr>
          <m:t>1</m:t>
        </m:r>
      </m:oMath>
    </w:p>
    <w:p w14:paraId="7448220A" w14:textId="77777777" w:rsidR="003A5826" w:rsidRDefault="00000000">
      <w:pPr>
        <w:numPr>
          <w:ilvl w:val="0"/>
          <w:numId w:val="2"/>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r>
        <w:t>: probability of an individual remaining in the sample area (i.e., fidelity)</w:t>
      </w:r>
    </w:p>
    <w:p w14:paraId="0E4ECDC6" w14:textId="77777777" w:rsidR="003A5826" w:rsidRDefault="00000000">
      <w:r>
        <w:t xml:space="preserve">Because the area for dead and live recoveries was the same, we fixed </w:t>
      </w:r>
      <m:oMath>
        <m:r>
          <w:rPr>
            <w:rFonts w:ascii="Cambria Math" w:hAnsi="Cambria Math"/>
          </w:rPr>
          <m:t>F</m:t>
        </m:r>
      </m:oMath>
      <w:r>
        <w:t xml:space="preserve"> to 1 for all occasions.</w:t>
      </w:r>
    </w:p>
    <w:p w14:paraId="0038ED64" w14:textId="77777777" w:rsidR="003A5826" w:rsidRDefault="00000000">
      <w:pPr>
        <w:pStyle w:val="Heading2"/>
      </w:pPr>
      <w:bookmarkStart w:id="3" w:name="data-analysis"/>
      <w:bookmarkEnd w:id="2"/>
      <w:r>
        <w:t>1.3 Data Analysis</w:t>
      </w:r>
    </w:p>
    <w:p w14:paraId="22F7BB3E" w14:textId="77777777" w:rsidR="003A5826" w:rsidRDefault="00000000">
      <w:r>
        <w:t xml:space="preserve">Release data for the 2023 cohort were combined with data from the eight sampling occasions in 2024 and 2025. A set of candidate models were developed under the Burnham joint framework for comparison. Each candidate model represents a set of </w:t>
      </w:r>
      <w:r>
        <w:lastRenderedPageBreak/>
        <w:t xml:space="preserve">hypotheses regarding the four model parameters of the Burnham model (e.g., survival varies over time or is constant). For all models, </w:t>
      </w:r>
      <m:oMath>
        <m:r>
          <w:rPr>
            <w:rFonts w:ascii="Cambria Math" w:hAnsi="Cambria Math"/>
          </w:rPr>
          <m:t>F</m:t>
        </m:r>
      </m:oMath>
      <w:r>
        <w:t xml:space="preserve"> (fidelity) was fixed to 1. We constructed candidate models where:</w:t>
      </w:r>
    </w:p>
    <w:p w14:paraId="14D70FEC" w14:textId="77777777" w:rsidR="003A5826" w:rsidRDefault="00000000">
      <w:pPr>
        <w:numPr>
          <w:ilvl w:val="0"/>
          <w:numId w:val="3"/>
        </w:numPr>
      </w:pPr>
      <m:oMath>
        <m:r>
          <w:rPr>
            <w:rFonts w:ascii="Cambria Math" w:hAnsi="Cambria Math"/>
          </w:rPr>
          <m:t>S</m:t>
        </m:r>
      </m:oMath>
      <w:r>
        <w:t xml:space="preserve"> varied between each sampling occasion (</w:t>
      </w:r>
      <m:oMath>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m:t>
                </m:r>
              </m:e>
            </m:d>
          </m:sub>
        </m:sSub>
      </m:oMath>
      <w:r>
        <w:t>), was constant between all occasions(</w:t>
      </w:r>
      <m:oMath>
        <m:sSub>
          <m:sSubPr>
            <m:ctrlPr>
              <w:rPr>
                <w:rFonts w:ascii="Cambria Math" w:hAnsi="Cambria Math"/>
              </w:rPr>
            </m:ctrlPr>
          </m:sSubPr>
          <m:e>
            <m:r>
              <w:rPr>
                <w:rFonts w:ascii="Cambria Math" w:hAnsi="Cambria Math"/>
              </w:rPr>
              <m:t>S</m:t>
            </m:r>
          </m:e>
          <m:sub>
            <m:d>
              <m:dPr>
                <m:ctrlPr>
                  <w:rPr>
                    <w:rFonts w:ascii="Cambria Math" w:hAnsi="Cambria Math"/>
                  </w:rPr>
                </m:ctrlPr>
              </m:dPr>
              <m:e>
                <m:r>
                  <m:rPr>
                    <m:sty m:val="p"/>
                  </m:rPr>
                  <w:rPr>
                    <w:rFonts w:ascii="Cambria Math" w:hAnsi="Cambria Math"/>
                  </w:rPr>
                  <m:t>.</m:t>
                </m:r>
              </m:e>
            </m:d>
          </m:sub>
        </m:sSub>
      </m:oMath>
      <w:r>
        <w:t>), or was constant between occasions for the same year but varied between years (</w:t>
      </w:r>
      <m:oMath>
        <m:r>
          <w:rPr>
            <w:rFonts w:ascii="Cambria Math" w:hAnsi="Cambria Math"/>
          </w:rPr>
          <m:t>year</m:t>
        </m:r>
      </m:oMath>
      <w:r>
        <w:t>),</w:t>
      </w:r>
    </w:p>
    <w:p w14:paraId="198A7CCB" w14:textId="77777777" w:rsidR="003A5826" w:rsidRDefault="00000000">
      <w:pPr>
        <w:numPr>
          <w:ilvl w:val="0"/>
          <w:numId w:val="3"/>
        </w:numPr>
      </w:pPr>
      <m:oMath>
        <m:r>
          <w:rPr>
            <w:rFonts w:ascii="Cambria Math" w:hAnsi="Cambria Math"/>
          </w:rPr>
          <m:t>p</m:t>
        </m:r>
      </m:oMath>
      <w:r>
        <w:t xml:space="preserve"> was constant over all occasions(</w:t>
      </w:r>
      <m:oMath>
        <m:sSub>
          <m:sSubPr>
            <m:ctrlPr>
              <w:rPr>
                <w:rFonts w:ascii="Cambria Math" w:hAnsi="Cambria Math"/>
              </w:rPr>
            </m:ctrlPr>
          </m:sSubPr>
          <m:e>
            <m:r>
              <w:rPr>
                <w:rFonts w:ascii="Cambria Math" w:hAnsi="Cambria Math"/>
              </w:rPr>
              <m:t>p</m:t>
            </m:r>
          </m:e>
          <m:sub>
            <m:d>
              <m:dPr>
                <m:ctrlPr>
                  <w:rPr>
                    <w:rFonts w:ascii="Cambria Math" w:hAnsi="Cambria Math"/>
                  </w:rPr>
                </m:ctrlPr>
              </m:dPr>
              <m:e>
                <m:r>
                  <m:rPr>
                    <m:sty m:val="p"/>
                  </m:rPr>
                  <w:rPr>
                    <w:rFonts w:ascii="Cambria Math" w:hAnsi="Cambria Math"/>
                  </w:rPr>
                  <m:t>.</m:t>
                </m:r>
              </m:e>
            </m:d>
          </m:sub>
        </m:sSub>
      </m:oMath>
      <w:r>
        <w:t>) or was constant between occasions for the same year but varied between years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year</m:t>
                </m:r>
              </m:e>
            </m:d>
          </m:sub>
        </m:sSub>
      </m:oMath>
      <w:r>
        <w:t>),</w:t>
      </w:r>
    </w:p>
    <w:p w14:paraId="70E24A17" w14:textId="77777777" w:rsidR="003A5826" w:rsidRDefault="00000000">
      <w:pPr>
        <w:numPr>
          <w:ilvl w:val="0"/>
          <w:numId w:val="3"/>
        </w:numPr>
      </w:pPr>
      <m:oMath>
        <m:r>
          <w:rPr>
            <w:rFonts w:ascii="Cambria Math" w:hAnsi="Cambria Math"/>
          </w:rPr>
          <m:t>r</m:t>
        </m:r>
      </m:oMath>
      <w:r>
        <w:t xml:space="preserve"> was constant over all occasions(</w:t>
      </w:r>
      <m:oMath>
        <m:sSub>
          <m:sSubPr>
            <m:ctrlPr>
              <w:rPr>
                <w:rFonts w:ascii="Cambria Math" w:hAnsi="Cambria Math"/>
              </w:rPr>
            </m:ctrlPr>
          </m:sSubPr>
          <m:e>
            <m:r>
              <w:rPr>
                <w:rFonts w:ascii="Cambria Math" w:hAnsi="Cambria Math"/>
              </w:rPr>
              <m:t>r</m:t>
            </m:r>
          </m:e>
          <m:sub>
            <m:d>
              <m:dPr>
                <m:ctrlPr>
                  <w:rPr>
                    <w:rFonts w:ascii="Cambria Math" w:hAnsi="Cambria Math"/>
                  </w:rPr>
                </m:ctrlPr>
              </m:dPr>
              <m:e>
                <m:r>
                  <m:rPr>
                    <m:sty m:val="p"/>
                  </m:rPr>
                  <w:rPr>
                    <w:rFonts w:ascii="Cambria Math" w:hAnsi="Cambria Math"/>
                  </w:rPr>
                  <m:t>.</m:t>
                </m:r>
              </m:e>
            </m:d>
          </m:sub>
        </m:sSub>
      </m:oMath>
      <w:r>
        <w:t>) or was constant between occasions for the same year but varied between years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year</m:t>
                </m:r>
              </m:e>
            </m:d>
          </m:sub>
        </m:sSub>
      </m:oMath>
      <w:r>
        <w:t>).</w:t>
      </w:r>
    </w:p>
    <w:p w14:paraId="34414619" w14:textId="77777777" w:rsidR="003A5826" w:rsidRDefault="00000000">
      <w:r>
        <w:t>This resulted in 12 total models in the candidate model set. We analyzed each site separately because there was limited connectivity between sites.</w:t>
      </w:r>
    </w:p>
    <w:p w14:paraId="472AFCBB" w14:textId="77777777" w:rsidR="003A5826" w:rsidRDefault="00000000">
      <w:r>
        <w:t>For each site, we analyzed our set of candidate models using Program MARK (White and Burnham (1999)) to determine which model had the highest likelihood using an information criteria approach that balances the goodness-of-fit with model complexity to rank the models (Burnham and Anderson (2002)). We used RMARK (an R package that runs MARK) to build and analyze models. The likelihood of each candidate model was calculated using Akaike’s Information Criterion (AIC) (Akaike (1973)) modified for small sample sizes (AICc) (Sugiura (1978)):</w:t>
      </w:r>
    </w:p>
    <w:p w14:paraId="572E6EFE" w14:textId="77777777" w:rsidR="003A5826" w:rsidRDefault="00000000">
      <m:oMathPara>
        <m:oMathParaPr>
          <m:jc m:val="center"/>
        </m:oMathParaPr>
        <m:oMath>
          <m:r>
            <w:rPr>
              <w:rFonts w:ascii="Cambria Math" w:hAnsi="Cambria Math"/>
            </w:rPr>
            <m:t>AICc</m:t>
          </m:r>
          <m:r>
            <m:rPr>
              <m:sty m:val="p"/>
            </m:rPr>
            <w:rPr>
              <w:rFonts w:ascii="Cambria Math" w:hAnsi="Cambria Math"/>
            </w:rPr>
            <m:t>=-</m:t>
          </m:r>
          <m:r>
            <w:rPr>
              <w:rFonts w:ascii="Cambria Math" w:hAnsi="Cambria Math"/>
            </w:rPr>
            <m:t>2log</m:t>
          </m:r>
          <m:d>
            <m:dPr>
              <m:ctrlPr>
                <w:rPr>
                  <w:rFonts w:ascii="Cambria Math" w:hAnsi="Cambria Math"/>
                </w:rPr>
              </m:ctrlPr>
            </m:dPr>
            <m:e>
              <m:r>
                <w:rPr>
                  <w:rFonts w:ascii="Cambria Math" w:hAnsi="Cambria Math"/>
                </w:rPr>
                <m:t>L</m:t>
              </m:r>
              <m:d>
                <m:dPr>
                  <m:ctrlPr>
                    <w:rPr>
                      <w:rFonts w:ascii="Cambria Math" w:hAnsi="Cambria Math"/>
                    </w:rPr>
                  </m:ctrlPr>
                </m:dPr>
                <m:e>
                  <m:acc>
                    <m:accPr>
                      <m:ctrlPr>
                        <w:rPr>
                          <w:rFonts w:ascii="Cambria Math" w:hAnsi="Cambria Math"/>
                        </w:rPr>
                      </m:ctrlPr>
                    </m:accPr>
                    <m:e>
                      <m:r>
                        <w:rPr>
                          <w:rFonts w:ascii="Cambria Math" w:hAnsi="Cambria Math"/>
                        </w:rPr>
                        <m:t>θ</m:t>
                      </m:r>
                      <m:r>
                        <m:rPr>
                          <m:sty m:val="p"/>
                        </m:rPr>
                        <w:rPr>
                          <w:rFonts w:ascii="Cambria Math" w:hAnsi="Cambria Math"/>
                        </w:rPr>
                        <m:t>̂</m:t>
                      </m:r>
                    </m:e>
                  </m:acc>
                </m:e>
              </m:d>
            </m:e>
          </m:d>
          <m:r>
            <m:rPr>
              <m:sty m:val="p"/>
            </m:rP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den>
          </m:f>
        </m:oMath>
      </m:oMathPara>
    </w:p>
    <w:p w14:paraId="2B64F70B" w14:textId="77777777" w:rsidR="003A5826" w:rsidRDefault="00000000">
      <w:r>
        <w:t xml:space="preserve">where </w:t>
      </w:r>
      <m:oMath>
        <m:r>
          <w:rPr>
            <w:rFonts w:ascii="Cambria Math" w:hAnsi="Cambria Math"/>
          </w:rPr>
          <m:t>L</m:t>
        </m:r>
        <m:d>
          <m:dPr>
            <m:ctrlPr>
              <w:rPr>
                <w:rFonts w:ascii="Cambria Math" w:hAnsi="Cambria Math"/>
              </w:rPr>
            </m:ctrlPr>
          </m:dPr>
          <m:e>
            <m:acc>
              <m:accPr>
                <m:ctrlPr>
                  <w:rPr>
                    <w:rFonts w:ascii="Cambria Math" w:hAnsi="Cambria Math"/>
                  </w:rPr>
                </m:ctrlPr>
              </m:accPr>
              <m:e>
                <m:r>
                  <w:rPr>
                    <w:rFonts w:ascii="Cambria Math" w:hAnsi="Cambria Math"/>
                  </w:rPr>
                  <m:t>θ</m:t>
                </m:r>
                <m:r>
                  <m:rPr>
                    <m:sty m:val="p"/>
                  </m:rPr>
                  <w:rPr>
                    <w:rFonts w:ascii="Cambria Math" w:hAnsi="Cambria Math"/>
                  </w:rPr>
                  <m:t>̂</m:t>
                </m:r>
              </m:e>
            </m:acc>
          </m:e>
        </m:d>
      </m:oMath>
      <w:r>
        <w:t xml:space="preserve"> is the likelihood of the parameter estimates, given the data, </w:t>
      </w:r>
      <m:oMath>
        <m:r>
          <w:rPr>
            <w:rFonts w:ascii="Cambria Math" w:hAnsi="Cambria Math"/>
          </w:rPr>
          <m:t>K</m:t>
        </m:r>
      </m:oMath>
      <w:r>
        <w:t xml:space="preserve"> is the number of parameters, and </w:t>
      </w:r>
      <m:oMath>
        <m:r>
          <w:rPr>
            <w:rFonts w:ascii="Cambria Math" w:hAnsi="Cambria Math"/>
          </w:rPr>
          <m:t>n</m:t>
        </m:r>
      </m:oMath>
      <w:r>
        <w:t xml:space="preserve"> is the sample size. Normally, the best model is the one with the lowest </w:t>
      </w:r>
      <m:oMath>
        <m:r>
          <w:rPr>
            <w:rFonts w:ascii="Cambria Math" w:hAnsi="Cambria Math"/>
          </w:rPr>
          <m:t>AICc</m:t>
        </m:r>
      </m:oMath>
      <w:r>
        <w:t xml:space="preserve"> score and other models are considered competing if </w:t>
      </w:r>
      <m:oMath>
        <m:r>
          <w:rPr>
            <w:rFonts w:ascii="Cambria Math" w:hAnsi="Cambria Math"/>
          </w:rPr>
          <m:t>ΔAIC</m:t>
        </m:r>
      </m:oMath>
      <w:r>
        <w:t xml:space="preserve"> &lt;2.0 (Burnham and Anderson (2002)). Based on this analysis, we selected the preferred model and derived parameter estimates using this model.</w:t>
      </w:r>
    </w:p>
    <w:p w14:paraId="5B6622A2" w14:textId="77777777" w:rsidR="003A5826" w:rsidRDefault="00000000">
      <w:r>
        <w:t>Because time intervals between occasions varied, we standardized survival estimates assuming a 30 day period (i.e., monthly survival), in addition to the survival estimates over each interval between occasions (interval survival). Finally, we calculated the expected abundance on each occasion using interval survival estimates for the selected model of each site and the initial size of the release cohort.</w:t>
      </w:r>
    </w:p>
    <w:p w14:paraId="784B7F2F" w14:textId="77777777" w:rsidR="003A5826" w:rsidRDefault="00000000">
      <w:pPr>
        <w:pStyle w:val="Heading1"/>
      </w:pPr>
      <w:bookmarkStart w:id="4" w:name="results"/>
      <w:bookmarkEnd w:id="0"/>
      <w:bookmarkEnd w:id="3"/>
      <w:r>
        <w:lastRenderedPageBreak/>
        <w:t>2. Results</w:t>
      </w:r>
    </w:p>
    <w:p w14:paraId="035B2238" w14:textId="77777777" w:rsidR="003A5826" w:rsidRDefault="00000000">
      <w:r>
        <w:t xml:space="preserve">The top model for Snakeden Run based on </w:t>
      </w:r>
      <m:oMath>
        <m:r>
          <w:rPr>
            <w:rFonts w:ascii="Cambria Math" w:hAnsi="Cambria Math"/>
          </w:rPr>
          <m:t>AI</m:t>
        </m:r>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was </w:t>
      </w:r>
      <m:oMath>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time</m:t>
                </m:r>
              </m:e>
            </m:d>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year</m:t>
                </m:r>
              </m:e>
            </m:d>
          </m:sub>
        </m:sSub>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year</m:t>
                </m:r>
              </m:e>
            </m:d>
          </m:sub>
        </m:sSub>
      </m:oMath>
      <w:r>
        <w:t xml:space="preserve">. However, estimates for several </w:t>
      </w:r>
      <m:oMath>
        <m:r>
          <w:rPr>
            <w:rFonts w:ascii="Cambria Math" w:hAnsi="Cambria Math"/>
          </w:rPr>
          <m:t>r</m:t>
        </m:r>
      </m:oMath>
      <w:r>
        <w:t xml:space="preserve"> parameters failed to converge. Similarly, the second model </w:t>
      </w:r>
      <m:oMath>
        <m:d>
          <m:dPr>
            <m:ctrlPr>
              <w:rPr>
                <w:rFonts w:ascii="Cambria Math" w:hAnsi="Cambria Math"/>
              </w:rPr>
            </m:ctrlPr>
          </m:dPr>
          <m:e>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time</m:t>
                    </m:r>
                  </m:e>
                </m:d>
              </m:sub>
            </m:sSub>
            <m:sSub>
              <m:sSubPr>
                <m:ctrlPr>
                  <w:rPr>
                    <w:rFonts w:ascii="Cambria Math" w:hAnsi="Cambria Math"/>
                  </w:rPr>
                </m:ctrlPr>
              </m:sSubPr>
              <m:e>
                <m:r>
                  <w:rPr>
                    <w:rFonts w:ascii="Cambria Math" w:hAnsi="Cambria Math"/>
                  </w:rPr>
                  <m:t>p</m:t>
                </m:r>
              </m:e>
              <m:sub>
                <m:d>
                  <m:dPr>
                    <m:ctrlPr>
                      <w:rPr>
                        <w:rFonts w:ascii="Cambria Math" w:hAnsi="Cambria Math"/>
                      </w:rPr>
                    </m:ctrlPr>
                  </m:dPr>
                  <m:e>
                    <m:r>
                      <m:rPr>
                        <m:sty m:val="p"/>
                      </m:rPr>
                      <w:rPr>
                        <w:rFonts w:ascii="Cambria Math" w:hAnsi="Cambria Math"/>
                      </w:rPr>
                      <m:t>.</m:t>
                    </m:r>
                  </m:e>
                </m:d>
              </m:sub>
            </m:sSub>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year</m:t>
                    </m:r>
                  </m:e>
                </m:d>
              </m:sub>
            </m:sSub>
          </m:e>
        </m:d>
      </m:oMath>
      <w:r>
        <w:t xml:space="preserve">, had similar convergence issues for some </w:t>
      </w:r>
      <m:oMath>
        <m:r>
          <w:rPr>
            <w:rFonts w:ascii="Cambria Math" w:hAnsi="Cambria Math"/>
          </w:rPr>
          <m:t>r</m:t>
        </m:r>
      </m:oMath>
      <w:r>
        <w:t xml:space="preserve"> parameters. Consequently, we selected the third model (</w:t>
      </w:r>
      <m:oMath>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time</m:t>
                </m:r>
              </m:e>
            </m:d>
          </m:sub>
        </m:sSub>
        <m:sSub>
          <m:sSubPr>
            <m:ctrlPr>
              <w:rPr>
                <w:rFonts w:ascii="Cambria Math" w:hAnsi="Cambria Math"/>
              </w:rPr>
            </m:ctrlPr>
          </m:sSubPr>
          <m:e>
            <m:r>
              <w:rPr>
                <w:rFonts w:ascii="Cambria Math" w:hAnsi="Cambria Math"/>
              </w:rPr>
              <m:t>p</m:t>
            </m:r>
          </m:e>
          <m:sub>
            <m:d>
              <m:dPr>
                <m:ctrlPr>
                  <w:rPr>
                    <w:rFonts w:ascii="Cambria Math" w:hAnsi="Cambria Math"/>
                  </w:rPr>
                </m:ctrlPr>
              </m:dPr>
              <m:e>
                <m:r>
                  <m:rPr>
                    <m:sty m:val="p"/>
                  </m:rPr>
                  <w:rPr>
                    <w:rFonts w:ascii="Cambria Math" w:hAnsi="Cambria Math"/>
                  </w:rPr>
                  <m:t>.</m:t>
                </m:r>
              </m:e>
            </m:d>
          </m:sub>
        </m:sSub>
        <m:sSub>
          <m:sSubPr>
            <m:ctrlPr>
              <w:rPr>
                <w:rFonts w:ascii="Cambria Math" w:hAnsi="Cambria Math"/>
              </w:rPr>
            </m:ctrlPr>
          </m:sSubPr>
          <m:e>
            <m:r>
              <w:rPr>
                <w:rFonts w:ascii="Cambria Math" w:hAnsi="Cambria Math"/>
              </w:rPr>
              <m:t>r</m:t>
            </m:r>
          </m:e>
          <m:sub>
            <m:d>
              <m:dPr>
                <m:ctrlPr>
                  <w:rPr>
                    <w:rFonts w:ascii="Cambria Math" w:hAnsi="Cambria Math"/>
                  </w:rPr>
                </m:ctrlPr>
              </m:dPr>
              <m:e>
                <m:r>
                  <m:rPr>
                    <m:sty m:val="p"/>
                  </m:rPr>
                  <w:rPr>
                    <w:rFonts w:ascii="Cambria Math" w:hAnsi="Cambria Math"/>
                  </w:rPr>
                  <m:t>.</m:t>
                </m:r>
              </m:e>
            </m:d>
          </m:sub>
        </m:sSub>
      </m:oMath>
      <w:r>
        <w:t>) for estimating survival and abundance at Snakeden Run.</w:t>
      </w:r>
    </w:p>
    <w:p w14:paraId="5A3C606F" w14:textId="77777777" w:rsidR="003A5826" w:rsidRDefault="00000000">
      <w:r>
        <w:t>The top model for Glade Run was (</w:t>
      </w:r>
      <m:oMath>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time</m:t>
                </m:r>
              </m:e>
            </m:d>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year</m:t>
                </m:r>
              </m:e>
            </m:d>
          </m:sub>
        </m:sSub>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year</m:t>
                </m:r>
              </m:e>
            </m:d>
          </m:sub>
        </m:sSub>
      </m:oMath>
      <w:r>
        <w:t xml:space="preserve">). Some estimates of both </w:t>
      </w:r>
      <m:oMath>
        <m:r>
          <w:rPr>
            <w:rFonts w:ascii="Cambria Math" w:hAnsi="Cambria Math"/>
          </w:rPr>
          <m:t>S</m:t>
        </m:r>
      </m:oMath>
      <w:r>
        <w:t xml:space="preserve"> and </w:t>
      </w:r>
      <m:oMath>
        <m:r>
          <w:rPr>
            <w:rFonts w:ascii="Cambria Math" w:hAnsi="Cambria Math"/>
          </w:rPr>
          <m:t>r</m:t>
        </m:r>
      </m:oMath>
      <w:r>
        <w:t xml:space="preserve"> parameters failed to converge. Consequently we selected the second model (</w:t>
      </w:r>
      <m:oMath>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time</m:t>
                </m:r>
              </m:e>
            </m:d>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year</m:t>
                </m:r>
              </m:e>
            </m:d>
          </m:sub>
        </m:sSub>
        <m:sSub>
          <m:sSubPr>
            <m:ctrlPr>
              <w:rPr>
                <w:rFonts w:ascii="Cambria Math" w:hAnsi="Cambria Math"/>
              </w:rPr>
            </m:ctrlPr>
          </m:sSubPr>
          <m:e>
            <m:r>
              <w:rPr>
                <w:rFonts w:ascii="Cambria Math" w:hAnsi="Cambria Math"/>
              </w:rPr>
              <m:t>r</m:t>
            </m:r>
          </m:e>
          <m:sub>
            <m:d>
              <m:dPr>
                <m:ctrlPr>
                  <w:rPr>
                    <w:rFonts w:ascii="Cambria Math" w:hAnsi="Cambria Math"/>
                  </w:rPr>
                </m:ctrlPr>
              </m:dPr>
              <m:e>
                <m:r>
                  <m:rPr>
                    <m:sty m:val="p"/>
                  </m:rPr>
                  <w:rPr>
                    <w:rFonts w:ascii="Cambria Math" w:hAnsi="Cambria Math"/>
                  </w:rPr>
                  <m:t>.</m:t>
                </m:r>
              </m:e>
            </m:d>
          </m:sub>
        </m:sSub>
      </m:oMath>
      <w:r>
        <w:t>) for estimating survival and abundance at Glade Run.</w:t>
      </w:r>
    </w:p>
    <w:p w14:paraId="594C74F7" w14:textId="77777777" w:rsidR="003A5826" w:rsidRDefault="00000000">
      <w:r>
        <w:t>Monthly survival estimates ranged from 0.476 to 0.975 for Snakeden Run and from 0.85 to 0.996 for Glade Run (</w:t>
      </w:r>
      <w:hyperlink w:anchor="tbl-survival">
        <w:r>
          <w:t>Table 2</w:t>
        </w:r>
      </w:hyperlink>
      <w:r>
        <w:t>). Interval survival estimates ranged from 0.537 to 0.816 for Snakeden Run and from 0.787 to 0.974 for Glade Run (</w:t>
      </w:r>
      <w:hyperlink w:anchor="tbl-survival">
        <w:r>
          <w:t>Table 2</w:t>
        </w:r>
      </w:hyperlink>
      <w:r>
        <w:t xml:space="preserve"> and </w:t>
      </w:r>
      <w:hyperlink w:anchor="fig-survival">
        <w:r>
          <w:t>Figure 1</w:t>
        </w:r>
      </w:hyperlink>
      <w:r>
        <w:t>). Trends in survival over time were similar at both sites. However, Snakeden Run had lower survival than Glade Run during all intervals.</w:t>
      </w:r>
    </w:p>
    <w:p w14:paraId="652FFE1F" w14:textId="77777777" w:rsidR="003A5826" w:rsidRDefault="00000000">
      <w:r>
        <w:t>Corresponding abundance estimates ranged from 111 to 1578 at Snakeden Run and 590 to 1224 at Glade Run (</w:t>
      </w:r>
      <w:hyperlink w:anchor="tbl-abundance">
        <w:r>
          <w:t>Table 3</w:t>
        </w:r>
      </w:hyperlink>
      <w:r>
        <w:t xml:space="preserve"> and </w:t>
      </w:r>
      <w:hyperlink w:anchor="fig-abundance">
        <w:r>
          <w:t>Figure 2</w:t>
        </w:r>
      </w:hyperlink>
      <w:r>
        <w:t>). Abundance at Snakeden Run declined more rapidly than Glade Run due to consistently lower interval survival estimates.</w:t>
      </w:r>
    </w:p>
    <w:p w14:paraId="7D34D5A8" w14:textId="77777777" w:rsidR="003A5826" w:rsidRDefault="00000000">
      <w:pPr>
        <w:pStyle w:val="Heading1"/>
      </w:pPr>
      <w:bookmarkStart w:id="5" w:name="discussion"/>
      <w:bookmarkEnd w:id="4"/>
      <w:r>
        <w:t>3. Discussion</w:t>
      </w:r>
    </w:p>
    <w:p w14:paraId="6EF58B89" w14:textId="77777777" w:rsidR="003A5826" w:rsidRDefault="00000000">
      <w:r>
        <w:t>Estimated survival was higher at Glade Run for all occasions. The comparatively high survival at Glade Run was expected based on stream characteristics and conditions observed over the course of the survey. Snakeden Run has noticeably greater channel size, discharge magnitude, gradient, and shear stress compared to Glade Run. We also observed downstream displacement and stranding mortality due to high discharge events at Snakeden Run. On the other hand, displacement at Glade Run was minimal and no stranding mortality was observed.</w:t>
      </w:r>
    </w:p>
    <w:p w14:paraId="5CF6EA33" w14:textId="77777777" w:rsidR="003A5826" w:rsidRDefault="00000000">
      <w:r>
        <w:t>Abundance estimates seem to match naive estimates of abundance based on the raw number of mussels observed alive at each occasion. On the last sampling occasion, we observed 258 and 43 live mussels at Glade Run and Snakeden Run, respectively. Assuming that survival estimates from the Burnham model are true, this would suggest that we observed approximately 44% of mussels at Glade Run and 39% of mussels at Snakeden Run on the final sampling occasion. This level of detectability is somewhat higher than is typical but still within a reasonable range for freshwater mussels (</w:t>
      </w:r>
      <w:r>
        <w:rPr>
          <w:b/>
          <w:bCs/>
        </w:rPr>
        <w:t>Reference</w:t>
      </w:r>
      <w:r>
        <w:t>).</w:t>
      </w:r>
    </w:p>
    <w:p w14:paraId="078381DE" w14:textId="77777777" w:rsidR="003A5826" w:rsidRDefault="00000000">
      <w:r>
        <w:lastRenderedPageBreak/>
        <w:t>Based on confirmed mortality alone, the maximum survival over the entire 2.5-year study period is 66% at Snakeden Run and 84% at Glade Run. This is higher than the estimates from the mark-recapture analysis (Snakeden: 7% and Glade: 48%). This is not surprising since the mark-recapture estimates account for the probabilities of both detecting a live mussel (</w:t>
      </w:r>
      <m:oMath>
        <m:r>
          <w:rPr>
            <w:rFonts w:ascii="Cambria Math" w:hAnsi="Cambria Math"/>
          </w:rPr>
          <m:t>p</m:t>
        </m:r>
      </m:oMath>
      <w:r>
        <w:t>) and recovering a dead mussel (</w:t>
      </w:r>
      <m:oMath>
        <m:r>
          <w:rPr>
            <w:rFonts w:ascii="Cambria Math" w:hAnsi="Cambria Math"/>
          </w:rPr>
          <m:t>r</m:t>
        </m:r>
      </m:oMath>
      <w:r>
        <w:t>), in addition to survival. Further, it is possible that our survival estimates are slightly underestimated compared to true survival. Of the mussels observed either alive or dead at least once, 5.3% were untagged at Snakeden Run and 5.3% at Glade Run, suggesting at least some tag loss. Individuals with lost tags are modeled as if they were not seen again, which can have the effect of underestimating survival (</w:t>
      </w:r>
      <w:r>
        <w:rPr>
          <w:b/>
          <w:bCs/>
        </w:rPr>
        <w:t>reference</w:t>
      </w:r>
      <w:r>
        <w:t>). If our survival estimates are negatively biased, the true abundance on the last occasion would be correspondingly higher and detectability on the last occasion would be more in line with typical detectability of freshwater mussels.</w:t>
      </w:r>
    </w:p>
    <w:p w14:paraId="5B19E53C" w14:textId="77777777" w:rsidR="003A5826" w:rsidRDefault="00000000">
      <w:pPr>
        <w:pStyle w:val="Heading1"/>
      </w:pPr>
      <w:bookmarkStart w:id="6" w:name="figures"/>
      <w:bookmarkEnd w:id="5"/>
      <w:r>
        <w:t>4. Figures</w:t>
      </w:r>
    </w:p>
    <w:tbl>
      <w:tblPr>
        <w:tblW w:w="5000" w:type="pct"/>
        <w:tblLayout w:type="fixed"/>
        <w:tblLook w:val="0000" w:firstRow="0" w:lastRow="0" w:firstColumn="0" w:lastColumn="0" w:noHBand="0" w:noVBand="0"/>
      </w:tblPr>
      <w:tblGrid>
        <w:gridCol w:w="9360"/>
      </w:tblGrid>
      <w:tr w:rsidR="003A5826" w14:paraId="3AA6C0D2" w14:textId="77777777">
        <w:tc>
          <w:tcPr>
            <w:tcW w:w="7920" w:type="dxa"/>
          </w:tcPr>
          <w:p w14:paraId="0B7C027F" w14:textId="77777777" w:rsidR="003A5826" w:rsidRDefault="00000000">
            <w:pPr>
              <w:jc w:val="center"/>
            </w:pPr>
            <w:bookmarkStart w:id="7" w:name="fig-survival"/>
            <w:r>
              <w:rPr>
                <w:noProof/>
              </w:rPr>
              <w:drawing>
                <wp:inline distT="0" distB="0" distL="0" distR="0" wp14:anchorId="7709BA2C" wp14:editId="4B38252B">
                  <wp:extent cx="3810000" cy="2540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ures/05a_alt_model_results/Figure_1_survival_selected_model.jp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2F78717E" w14:textId="77777777" w:rsidR="003A5826" w:rsidRDefault="00000000">
            <w:pPr>
              <w:spacing w:before="200"/>
            </w:pPr>
            <w:r>
              <w:t>Figure 1: Interval survival estimates from the selected Burnham joint model. Error bars indicate 95% CIs. Note that intervals are unequal. Estimates are the actual survival from one occasion to the next and cannot be directly compared.</w:t>
            </w:r>
          </w:p>
        </w:tc>
        <w:bookmarkEnd w:id="7"/>
      </w:tr>
    </w:tbl>
    <w:p w14:paraId="2A400E29" w14:textId="77777777" w:rsidR="003A5826" w:rsidRDefault="00000000">
      <w:r>
        <w:t xml:space="preserve"> </w:t>
      </w:r>
    </w:p>
    <w:tbl>
      <w:tblPr>
        <w:tblW w:w="5000" w:type="pct"/>
        <w:tblLayout w:type="fixed"/>
        <w:tblLook w:val="0000" w:firstRow="0" w:lastRow="0" w:firstColumn="0" w:lastColumn="0" w:noHBand="0" w:noVBand="0"/>
      </w:tblPr>
      <w:tblGrid>
        <w:gridCol w:w="9360"/>
      </w:tblGrid>
      <w:tr w:rsidR="003A5826" w14:paraId="05FDC380" w14:textId="77777777">
        <w:tc>
          <w:tcPr>
            <w:tcW w:w="7920" w:type="dxa"/>
          </w:tcPr>
          <w:p w14:paraId="766BF483" w14:textId="77777777" w:rsidR="003A5826" w:rsidRDefault="00000000">
            <w:pPr>
              <w:jc w:val="center"/>
            </w:pPr>
            <w:bookmarkStart w:id="8" w:name="fig-abundance"/>
            <w:r>
              <w:rPr>
                <w:noProof/>
              </w:rPr>
              <w:lastRenderedPageBreak/>
              <w:drawing>
                <wp:inline distT="0" distB="0" distL="0" distR="0" wp14:anchorId="43F6ADC6" wp14:editId="697565E2">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esults/figures/05a_alt_model_results/Figure_2_abundance_selected_model.jpg"/>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14:paraId="26903995" w14:textId="77777777" w:rsidR="003A5826" w:rsidRDefault="00000000">
            <w:pPr>
              <w:spacing w:before="200"/>
            </w:pPr>
            <w:r>
              <w:t>Figure 2: Estimated abundance on each occasion as calculated using interval survival estimates from the selected Burnham joint model. Error bars indicate 95% CIs. There are no error bars for the Release cohort because it is not an estimate.</w:t>
            </w:r>
          </w:p>
        </w:tc>
        <w:bookmarkEnd w:id="8"/>
      </w:tr>
    </w:tbl>
    <w:p w14:paraId="7341CC14" w14:textId="77777777" w:rsidR="003A5826" w:rsidRDefault="00000000">
      <w:pPr>
        <w:pStyle w:val="Heading1"/>
      </w:pPr>
      <w:bookmarkStart w:id="9" w:name="tables"/>
      <w:bookmarkEnd w:id="6"/>
      <w:r>
        <w:t>5. Tables</w:t>
      </w:r>
    </w:p>
    <w:tbl>
      <w:tblPr>
        <w:tblW w:w="5000" w:type="pct"/>
        <w:tblLayout w:type="fixed"/>
        <w:tblLook w:val="0000" w:firstRow="0" w:lastRow="0" w:firstColumn="0" w:lastColumn="0" w:noHBand="0" w:noVBand="0"/>
      </w:tblPr>
      <w:tblGrid>
        <w:gridCol w:w="9360"/>
      </w:tblGrid>
      <w:tr w:rsidR="003A5826" w14:paraId="3AA41D45" w14:textId="77777777">
        <w:tc>
          <w:tcPr>
            <w:tcW w:w="7920" w:type="dxa"/>
          </w:tcPr>
          <w:p w14:paraId="3E3F1F84" w14:textId="77777777" w:rsidR="003A5826" w:rsidRDefault="00000000">
            <w:pPr>
              <w:spacing w:before="200"/>
            </w:pPr>
            <w:bookmarkStart w:id="10" w:name="tbl-occasions"/>
            <w:r>
              <w:t>Table 1: Sampling dates for mark-recapture surveys.</w:t>
            </w:r>
          </w:p>
          <w:tbl>
            <w:tblPr>
              <w:tblW w:w="0" w:type="auto"/>
              <w:jc w:val="center"/>
              <w:tblLayout w:type="fixed"/>
              <w:tblLook w:val="0420" w:firstRow="1" w:lastRow="0" w:firstColumn="0" w:lastColumn="0" w:noHBand="0" w:noVBand="1"/>
            </w:tblPr>
            <w:tblGrid>
              <w:gridCol w:w="1025"/>
              <w:gridCol w:w="1727"/>
              <w:gridCol w:w="1415"/>
            </w:tblGrid>
            <w:tr w:rsidR="003A5826" w14:paraId="2A20C1CC" w14:textId="77777777">
              <w:trPr>
                <w:tblHeader/>
                <w:jc w:val="center"/>
              </w:trPr>
              <w:tc>
                <w:tcPr>
                  <w:tcW w:w="10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8D55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b/>
                      <w:color w:val="000000"/>
                      <w:sz w:val="16"/>
                      <w:szCs w:val="16"/>
                    </w:rPr>
                  </w:pPr>
                  <w:r>
                    <w:rPr>
                      <w:rFonts w:ascii="Arial" w:eastAsia="Arial" w:hAnsi="Arial" w:cs="Arial"/>
                      <w:b/>
                      <w:color w:val="000000"/>
                      <w:sz w:val="16"/>
                      <w:szCs w:val="16"/>
                    </w:rPr>
                    <w:t>Site</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0DEC0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Occasion</w:t>
                  </w:r>
                </w:p>
              </w:tc>
              <w:tc>
                <w:tcPr>
                  <w:tcW w:w="14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D9C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Sampling Date</w:t>
                  </w:r>
                </w:p>
              </w:tc>
            </w:tr>
            <w:tr w:rsidR="003A5826" w14:paraId="564870E6" w14:textId="77777777">
              <w:trPr>
                <w:jc w:val="center"/>
              </w:trPr>
              <w:tc>
                <w:tcPr>
                  <w:tcW w:w="1025"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5B7776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r>
                    <w:rPr>
                      <w:rFonts w:ascii="Arial" w:eastAsia="Arial" w:hAnsi="Arial" w:cs="Arial"/>
                      <w:color w:val="000000"/>
                      <w:sz w:val="16"/>
                      <w:szCs w:val="16"/>
                    </w:rPr>
                    <w:t>Snakeden</w:t>
                  </w:r>
                </w:p>
              </w:tc>
              <w:tc>
                <w:tcPr>
                  <w:tcW w:w="17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D023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Release (July 2023)</w:t>
                  </w:r>
                </w:p>
              </w:tc>
              <w:tc>
                <w:tcPr>
                  <w:tcW w:w="141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FAB04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2023-07-27</w:t>
                  </w:r>
                </w:p>
              </w:tc>
            </w:tr>
            <w:tr w:rsidR="003A5826" w14:paraId="7D6D5654"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42005BE"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8909D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C33D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2024-07-25</w:t>
                  </w:r>
                </w:p>
              </w:tc>
            </w:tr>
            <w:tr w:rsidR="003A5826" w14:paraId="50520D1F"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695E08E"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D4942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44A3F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2024-08-29</w:t>
                  </w:r>
                </w:p>
              </w:tc>
            </w:tr>
            <w:tr w:rsidR="003A5826" w14:paraId="23A3C261"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6CE3D6B"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1725E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17299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2024-10-10</w:t>
                  </w:r>
                </w:p>
              </w:tc>
            </w:tr>
            <w:tr w:rsidR="003A5826" w14:paraId="0CEA05FD"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C64B703"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CDDBA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March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6FC51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2025-03-12</w:t>
                  </w:r>
                </w:p>
              </w:tc>
            </w:tr>
            <w:tr w:rsidR="003A5826" w14:paraId="5954571C"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8F47894"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C28C0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8390B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2025-07-17</w:t>
                  </w:r>
                </w:p>
              </w:tc>
            </w:tr>
            <w:tr w:rsidR="003A5826" w14:paraId="70E1A611"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39EACB5"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465E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754E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2025-08-29</w:t>
                  </w:r>
                </w:p>
              </w:tc>
            </w:tr>
            <w:tr w:rsidR="003A5826" w14:paraId="1EEB8DB3"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BACCD31"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48A3B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Sept.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BEB32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2025-09-19</w:t>
                  </w:r>
                </w:p>
              </w:tc>
            </w:tr>
            <w:tr w:rsidR="003A5826" w14:paraId="104FE40E"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DA7DE26"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234A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AA537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2025-09-30</w:t>
                  </w:r>
                </w:p>
              </w:tc>
            </w:tr>
            <w:tr w:rsidR="003A5826" w14:paraId="5256F789" w14:textId="77777777">
              <w:trPr>
                <w:jc w:val="center"/>
              </w:trPr>
              <w:tc>
                <w:tcPr>
                  <w:tcW w:w="1025"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3ECA3E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r>
                    <w:rPr>
                      <w:rFonts w:ascii="Arial" w:eastAsia="Arial" w:hAnsi="Arial" w:cs="Arial"/>
                      <w:color w:val="000000"/>
                      <w:sz w:val="16"/>
                      <w:szCs w:val="16"/>
                    </w:rPr>
                    <w:t>Glade</w:t>
                  </w: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59E02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Release (July 2023)</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F98B0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2023-07-26</w:t>
                  </w:r>
                </w:p>
              </w:tc>
            </w:tr>
            <w:tr w:rsidR="003A5826" w14:paraId="1EF37EF7" w14:textId="77777777">
              <w:trPr>
                <w:jc w:val="center"/>
              </w:trPr>
              <w:tc>
                <w:tcPr>
                  <w:tcW w:w="1025"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D632FF0"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2FCF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1FE72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2024-07-25</w:t>
                  </w:r>
                </w:p>
              </w:tc>
            </w:tr>
            <w:tr w:rsidR="003A5826" w14:paraId="5F505095"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E5A7B68"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3D2F0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420F4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2024-09-08</w:t>
                  </w:r>
                </w:p>
              </w:tc>
            </w:tr>
            <w:tr w:rsidR="003A5826" w14:paraId="4CC144FC"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7305CD7"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666F7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2024</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CFB78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2024-10-11</w:t>
                  </w:r>
                </w:p>
              </w:tc>
            </w:tr>
            <w:tr w:rsidR="003A5826" w14:paraId="753F1711"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D804A32"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B210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March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FD51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2025-03-12</w:t>
                  </w:r>
                </w:p>
              </w:tc>
            </w:tr>
            <w:tr w:rsidR="003A5826" w14:paraId="0379F8CE"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64D21A"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CEAB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53BF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2025-07-18</w:t>
                  </w:r>
                </w:p>
              </w:tc>
            </w:tr>
            <w:tr w:rsidR="003A5826" w14:paraId="44D1E13A"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94A9F4B"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E03B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7287D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2025-08-29</w:t>
                  </w:r>
                </w:p>
              </w:tc>
            </w:tr>
            <w:tr w:rsidR="003A5826" w14:paraId="661A1673"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2BA48A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82517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Sept. 2025</w:t>
                  </w:r>
                </w:p>
              </w:tc>
              <w:tc>
                <w:tcPr>
                  <w:tcW w:w="141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CF6E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2025-09-18</w:t>
                  </w:r>
                </w:p>
              </w:tc>
            </w:tr>
            <w:tr w:rsidR="003A5826" w14:paraId="12EC9363" w14:textId="77777777">
              <w:trPr>
                <w:jc w:val="center"/>
              </w:trPr>
              <w:tc>
                <w:tcPr>
                  <w:tcW w:w="1025"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1DC1BA3"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1CF83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2025</w:t>
                  </w:r>
                </w:p>
              </w:tc>
              <w:tc>
                <w:tcPr>
                  <w:tcW w:w="141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BDC3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2025-09-29</w:t>
                  </w:r>
                </w:p>
              </w:tc>
            </w:tr>
            <w:bookmarkEnd w:id="10"/>
          </w:tbl>
          <w:p w14:paraId="18DEE92D" w14:textId="77777777" w:rsidR="00000000" w:rsidRDefault="00000000">
            <w:pPr>
              <w:spacing w:after="0" w:line="240" w:lineRule="auto"/>
            </w:pPr>
          </w:p>
        </w:tc>
      </w:tr>
      <w:tr w:rsidR="003A5826" w14:paraId="7B4AC510" w14:textId="77777777">
        <w:tc>
          <w:tcPr>
            <w:tcW w:w="7920" w:type="dxa"/>
          </w:tcPr>
          <w:p w14:paraId="4503A334" w14:textId="77777777" w:rsidR="003A5826" w:rsidRDefault="00000000">
            <w:pPr>
              <w:spacing w:before="200"/>
            </w:pPr>
            <w:bookmarkStart w:id="11" w:name="tbl-survival"/>
            <w:r>
              <w:lastRenderedPageBreak/>
              <w:t>Table 2: Survival for intervals between sampling occasions as estimated from the selected Burnham joint model.</w:t>
            </w:r>
          </w:p>
          <w:tbl>
            <w:tblPr>
              <w:tblW w:w="0" w:type="auto"/>
              <w:jc w:val="center"/>
              <w:tblLayout w:type="fixed"/>
              <w:tblLook w:val="0420" w:firstRow="1" w:lastRow="0" w:firstColumn="0" w:lastColumn="0" w:noHBand="0" w:noVBand="1"/>
            </w:tblPr>
            <w:tblGrid>
              <w:gridCol w:w="791"/>
              <w:gridCol w:w="1631"/>
              <w:gridCol w:w="705"/>
              <w:gridCol w:w="510"/>
              <w:gridCol w:w="510"/>
              <w:gridCol w:w="510"/>
              <w:gridCol w:w="705"/>
              <w:gridCol w:w="510"/>
              <w:gridCol w:w="510"/>
              <w:gridCol w:w="510"/>
            </w:tblGrid>
            <w:tr w:rsidR="003A5826" w14:paraId="10CC8460" w14:textId="77777777">
              <w:trPr>
                <w:tblHeader/>
                <w:jc w:val="center"/>
              </w:trPr>
              <w:tc>
                <w:tcPr>
                  <w:tcW w:w="2422" w:type="dxa"/>
                  <w:gridSpan w:val="2"/>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98D224"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b/>
                      <w:color w:val="000000"/>
                      <w:sz w:val="14"/>
                      <w:szCs w:val="14"/>
                    </w:rPr>
                  </w:pPr>
                </w:p>
              </w:tc>
              <w:tc>
                <w:tcPr>
                  <w:tcW w:w="2235"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C2772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Monthly Survival</w:t>
                  </w:r>
                </w:p>
              </w:tc>
              <w:tc>
                <w:tcPr>
                  <w:tcW w:w="2235" w:type="dxa"/>
                  <w:gridSpan w:val="4"/>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622FB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Interval Survival</w:t>
                  </w:r>
                </w:p>
              </w:tc>
            </w:tr>
            <w:tr w:rsidR="003A5826" w14:paraId="759BB2C8" w14:textId="77777777">
              <w:trPr>
                <w:tblHeader/>
                <w:jc w:val="center"/>
              </w:trPr>
              <w:tc>
                <w:tcPr>
                  <w:tcW w:w="79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F200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b/>
                      <w:color w:val="000000"/>
                      <w:sz w:val="14"/>
                      <w:szCs w:val="14"/>
                    </w:rPr>
                  </w:pPr>
                  <w:r>
                    <w:rPr>
                      <w:rFonts w:ascii="Arial" w:eastAsia="Arial" w:hAnsi="Arial" w:cs="Arial"/>
                      <w:b/>
                      <w:color w:val="000000"/>
                      <w:sz w:val="14"/>
                      <w:szCs w:val="14"/>
                    </w:rPr>
                    <w:t>Site</w:t>
                  </w:r>
                </w:p>
              </w:tc>
              <w:tc>
                <w:tcPr>
                  <w:tcW w:w="163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BAAF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Occasion</w:t>
                  </w:r>
                </w:p>
              </w:tc>
              <w:tc>
                <w:tcPr>
                  <w:tcW w:w="7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5BA9F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Survival</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349F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SE</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919E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LCL</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B30A2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UCL</w:t>
                  </w:r>
                </w:p>
              </w:tc>
              <w:tc>
                <w:tcPr>
                  <w:tcW w:w="7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9819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Survival</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C5F4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SE</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F881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LCL</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6028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4"/>
                      <w:szCs w:val="14"/>
                    </w:rPr>
                  </w:pPr>
                  <w:r>
                    <w:rPr>
                      <w:rFonts w:ascii="Arial" w:eastAsia="Arial" w:hAnsi="Arial" w:cs="Arial"/>
                      <w:b/>
                      <w:color w:val="000000"/>
                      <w:sz w:val="14"/>
                      <w:szCs w:val="14"/>
                    </w:rPr>
                    <w:t>UCL</w:t>
                  </w:r>
                </w:p>
              </w:tc>
            </w:tr>
            <w:tr w:rsidR="003A5826" w14:paraId="4F8769BD" w14:textId="77777777">
              <w:trPr>
                <w:jc w:val="center"/>
              </w:trPr>
              <w:tc>
                <w:tcPr>
                  <w:tcW w:w="791"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126964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r>
                    <w:rPr>
                      <w:rFonts w:ascii="Arial" w:eastAsia="Arial" w:hAnsi="Arial" w:cs="Arial"/>
                      <w:color w:val="000000"/>
                      <w:sz w:val="14"/>
                      <w:szCs w:val="14"/>
                    </w:rPr>
                    <w:t>Glade</w:t>
                  </w:r>
                </w:p>
              </w:tc>
              <w:tc>
                <w:tcPr>
                  <w:tcW w:w="163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5FB96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2023 - July 2024</w:t>
                  </w:r>
                </w:p>
              </w:tc>
              <w:tc>
                <w:tcPr>
                  <w:tcW w:w="7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5839E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0.996</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2F1A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0.001</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EE0C4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0.994</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59F3D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0.998</w:t>
                  </w:r>
                </w:p>
              </w:tc>
              <w:tc>
                <w:tcPr>
                  <w:tcW w:w="7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D004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0.956</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2FCCC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0.001</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0C11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0.926</w:t>
                  </w:r>
                </w:p>
              </w:tc>
              <w:tc>
                <w:tcPr>
                  <w:tcW w:w="51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8CCC5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0.974</w:t>
                  </w:r>
                </w:p>
              </w:tc>
            </w:tr>
            <w:tr w:rsidR="003A5826" w14:paraId="446756D1"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8F04C7B"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2D5D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2024 - Aug. 2024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C253B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0.850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11D58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0.013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38FA7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0.823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EDE5C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0.874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94B36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0.787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31B0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0.585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21E18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0.750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D67C3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0.819</w:t>
                  </w:r>
                </w:p>
              </w:tc>
            </w:tr>
            <w:tr w:rsidR="003A5826" w14:paraId="1D3CCC8D"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7A62C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D01E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Aug. 2024 - Oct. 2024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AED3E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05499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0.008</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4466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6D812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0.988</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00CE0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C84A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0.648</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A92D9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5F10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0.987</w:t>
                  </w:r>
                </w:p>
              </w:tc>
            </w:tr>
            <w:tr w:rsidR="003A5826" w14:paraId="62A72610"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07FEE60"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E8B8B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Oct. 2024 - March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02DDC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0.993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0410C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05C16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0.986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D9249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0.996</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5EB4F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0.963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0387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0.081</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93594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D4615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0.980</w:t>
                  </w:r>
                </w:p>
              </w:tc>
            </w:tr>
            <w:tr w:rsidR="003A5826" w14:paraId="33F8E5E9"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16C1D63"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B0362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March 2025 - July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1B6D0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0.969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32C28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5D306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0.958</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1688D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0.977</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8CFE3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0.876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00865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0.156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2E06E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0.834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CBAEA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0.909</w:t>
                  </w:r>
                </w:p>
              </w:tc>
            </w:tr>
            <w:tr w:rsidR="003A5826" w14:paraId="57322B37"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E98E4E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3244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2025 - Aug.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E46D7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488A2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0.014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8FA3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0.896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D4207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0.953</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ED70A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0.904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08B70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0.614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3408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0.859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EFD2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0.936</w:t>
                  </w:r>
                </w:p>
              </w:tc>
            </w:tr>
            <w:tr w:rsidR="003A5826" w14:paraId="77F3BD2A"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AB0AE5A"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1D969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Aug. 2025 - Sept.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26641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0.850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DB76C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0.033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8FD7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0.774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CFE4F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0.903</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0B14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0.899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EEA65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0.829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6F7F6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0.845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7E75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0.935</w:t>
                  </w:r>
                </w:p>
              </w:tc>
            </w:tr>
            <w:tr w:rsidR="003A5826" w14:paraId="3C56F88E"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CACE10D"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2A60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Sept. 2025 - Oct.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E879D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0.891</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70D8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0.035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EF384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0.801</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EF13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0.943</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8849E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0.959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891AD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0.904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7426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0.923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1A7DC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0.979</w:t>
                  </w:r>
                </w:p>
              </w:tc>
            </w:tr>
            <w:tr w:rsidR="003A5826" w14:paraId="574C5076" w14:textId="77777777">
              <w:trPr>
                <w:jc w:val="center"/>
              </w:trPr>
              <w:tc>
                <w:tcPr>
                  <w:tcW w:w="791"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8A363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r>
                    <w:rPr>
                      <w:rFonts w:ascii="Arial" w:eastAsia="Arial" w:hAnsi="Arial" w:cs="Arial"/>
                      <w:color w:val="000000"/>
                      <w:sz w:val="14"/>
                      <w:szCs w:val="14"/>
                    </w:rPr>
                    <w:t>Snakeden</w:t>
                  </w: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4E41D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2023 - July 2024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40533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C5E9E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AA48B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0.969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B43E2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0.979</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C0C49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0.735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43BD9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CC00D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0.690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486B6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0.775</w:t>
                  </w:r>
                </w:p>
              </w:tc>
            </w:tr>
            <w:tr w:rsidR="003A5826" w14:paraId="1AB2080D" w14:textId="77777777">
              <w:trPr>
                <w:jc w:val="center"/>
              </w:trPr>
              <w:tc>
                <w:tcPr>
                  <w:tcW w:w="791"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5B7B21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389D9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2024 - Aug. 2024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024CE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0.582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DD3E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0.024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C5FFA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0.535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ECB9B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0.628</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9DE05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0.537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39C2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0.699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797ED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0.487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B05058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0.586</w:t>
                  </w:r>
                </w:p>
              </w:tc>
            </w:tr>
            <w:tr w:rsidR="003A5826" w14:paraId="3EB19727"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AEBA5CD"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44837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Aug. 2024 - Oct. 2024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74257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0.863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CE8A7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0.022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A2EC9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5A61C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0.901</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4CBE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EE5B5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0.646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33FCD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0.751</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76A55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0.867</w:t>
                  </w:r>
                </w:p>
              </w:tc>
            </w:tr>
            <w:tr w:rsidR="003A5826" w14:paraId="0803EFA0"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E0094E0"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C29D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Oct. 2024 - March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BD2BF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0.960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4C71E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0.007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BB911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0.943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B9690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0.972</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FF3DA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ED54F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0.127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6E12FA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0.745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EE9CD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0.866</w:t>
                  </w:r>
                </w:p>
              </w:tc>
            </w:tr>
            <w:tr w:rsidR="003A5826" w14:paraId="7E6623AC"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A0C88D8"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EA976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March 2025 - July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BEB7C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0.917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9C84F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0.012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6ACE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0.892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43452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0.938</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C1987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0.698</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364F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0.213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4495F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0.619</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392C5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0.764</w:t>
                  </w:r>
                </w:p>
              </w:tc>
            </w:tr>
            <w:tr w:rsidR="003A5826" w14:paraId="6AA35EFE"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F736E41"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9755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July 2025 - Aug.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F6D67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8E102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0.032</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EBD9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0.740</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8B919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0.865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5CF18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0.743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AA66D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0.667</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3812C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0.653</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346F6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0.815</w:t>
                  </w:r>
                </w:p>
              </w:tc>
            </w:tr>
            <w:tr w:rsidR="003A5826" w14:paraId="10227E79" w14:textId="77777777">
              <w:trPr>
                <w:jc w:val="center"/>
              </w:trPr>
              <w:tc>
                <w:tcPr>
                  <w:tcW w:w="791"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880318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F9008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Aug. 2025 - Sept. 2025</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9617E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0.565</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EEE9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0.064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457F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0.438</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9EBC2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0.684</w:t>
                  </w:r>
                </w:p>
              </w:tc>
              <w:tc>
                <w:tcPr>
                  <w:tcW w:w="7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A3EFF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0.674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9B67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0.854</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AB87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0.566</w:t>
                  </w:r>
                </w:p>
              </w:tc>
              <w:tc>
                <w:tcPr>
                  <w:tcW w:w="51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24A6D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0.769</w:t>
                  </w:r>
                </w:p>
              </w:tc>
            </w:tr>
            <w:tr w:rsidR="003A5826" w14:paraId="0EFD0BEF" w14:textId="77777777">
              <w:trPr>
                <w:jc w:val="center"/>
              </w:trPr>
              <w:tc>
                <w:tcPr>
                  <w:tcW w:w="791"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65AAA0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4"/>
                      <w:szCs w:val="14"/>
                    </w:rPr>
                  </w:pPr>
                </w:p>
              </w:tc>
              <w:tc>
                <w:tcPr>
                  <w:tcW w:w="163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A49C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Sept. 2025 - Oct. 2025</w:t>
                  </w:r>
                </w:p>
              </w:tc>
              <w:tc>
                <w:tcPr>
                  <w:tcW w:w="7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D32B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0.476</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F144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0.104</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AEA4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0.287</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A558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0.672</w:t>
                  </w:r>
                </w:p>
              </w:tc>
              <w:tc>
                <w:tcPr>
                  <w:tcW w:w="7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6FC447"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0.765</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9C66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0.934</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CCA1B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0.637</w:t>
                  </w:r>
                </w:p>
              </w:tc>
              <w:tc>
                <w:tcPr>
                  <w:tcW w:w="51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6432C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4"/>
                      <w:szCs w:val="14"/>
                    </w:rPr>
                  </w:pPr>
                  <w:r>
                    <w:rPr>
                      <w:rFonts w:ascii="Arial" w:eastAsia="Arial" w:hAnsi="Arial" w:cs="Arial"/>
                      <w:color w:val="000000"/>
                      <w:sz w:val="14"/>
                      <w:szCs w:val="14"/>
                    </w:rPr>
                    <w:t>0.866</w:t>
                  </w:r>
                </w:p>
              </w:tc>
            </w:tr>
            <w:bookmarkEnd w:id="11"/>
          </w:tbl>
          <w:p w14:paraId="1CBF8B2B" w14:textId="77777777" w:rsidR="00000000" w:rsidRDefault="00000000">
            <w:pPr>
              <w:spacing w:after="0" w:line="240" w:lineRule="auto"/>
            </w:pPr>
          </w:p>
        </w:tc>
      </w:tr>
    </w:tbl>
    <w:p w14:paraId="7E76EBD9" w14:textId="77777777" w:rsidR="003A5826" w:rsidRDefault="00000000">
      <w:r>
        <w:br w:type="page"/>
      </w:r>
    </w:p>
    <w:tbl>
      <w:tblPr>
        <w:tblW w:w="5000" w:type="pct"/>
        <w:tblLayout w:type="fixed"/>
        <w:tblLook w:val="0000" w:firstRow="0" w:lastRow="0" w:firstColumn="0" w:lastColumn="0" w:noHBand="0" w:noVBand="0"/>
      </w:tblPr>
      <w:tblGrid>
        <w:gridCol w:w="9360"/>
      </w:tblGrid>
      <w:tr w:rsidR="003A5826" w14:paraId="10C450C1" w14:textId="77777777">
        <w:tc>
          <w:tcPr>
            <w:tcW w:w="7920" w:type="dxa"/>
          </w:tcPr>
          <w:p w14:paraId="3342D98C" w14:textId="77777777" w:rsidR="003A5826" w:rsidRDefault="00000000">
            <w:pPr>
              <w:spacing w:before="200"/>
            </w:pPr>
            <w:bookmarkStart w:id="12" w:name="tbl-abundance"/>
            <w:r>
              <w:lastRenderedPageBreak/>
              <w:t>Table 3: Abundance estimates of the initial release cohort on each sampling occasion. Based on interval survival estimates from the selected Burnham joint model and initial number of mussels released.</w:t>
            </w:r>
          </w:p>
          <w:tbl>
            <w:tblPr>
              <w:tblW w:w="0" w:type="auto"/>
              <w:jc w:val="center"/>
              <w:tblLayout w:type="fixed"/>
              <w:tblLook w:val="0420" w:firstRow="1" w:lastRow="0" w:firstColumn="0" w:lastColumn="0" w:noHBand="0" w:noVBand="1"/>
            </w:tblPr>
            <w:tblGrid>
              <w:gridCol w:w="1025"/>
              <w:gridCol w:w="1727"/>
              <w:gridCol w:w="1887"/>
              <w:gridCol w:w="1531"/>
              <w:gridCol w:w="1548"/>
            </w:tblGrid>
            <w:tr w:rsidR="003A5826" w14:paraId="12A3344D" w14:textId="77777777">
              <w:trPr>
                <w:tblHeader/>
                <w:jc w:val="center"/>
              </w:trPr>
              <w:tc>
                <w:tcPr>
                  <w:tcW w:w="10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0912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b/>
                      <w:color w:val="000000"/>
                      <w:sz w:val="16"/>
                      <w:szCs w:val="16"/>
                    </w:rPr>
                  </w:pPr>
                  <w:r>
                    <w:rPr>
                      <w:rFonts w:ascii="Arial" w:eastAsia="Arial" w:hAnsi="Arial" w:cs="Arial"/>
                      <w:b/>
                      <w:color w:val="000000"/>
                      <w:sz w:val="16"/>
                      <w:szCs w:val="16"/>
                    </w:rPr>
                    <w:t>Site</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EC341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Occasion</w:t>
                  </w:r>
                </w:p>
              </w:tc>
              <w:tc>
                <w:tcPr>
                  <w:tcW w:w="188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8454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Abundance Estimate</w:t>
                  </w:r>
                </w:p>
              </w:tc>
              <w:tc>
                <w:tcPr>
                  <w:tcW w:w="15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A6A1A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Abundance LCL</w:t>
                  </w:r>
                </w:p>
              </w:tc>
              <w:tc>
                <w:tcPr>
                  <w:tcW w:w="15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4CDA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b/>
                      <w:color w:val="000000"/>
                      <w:sz w:val="16"/>
                      <w:szCs w:val="16"/>
                    </w:rPr>
                  </w:pPr>
                  <w:r>
                    <w:rPr>
                      <w:rFonts w:ascii="Arial" w:eastAsia="Arial" w:hAnsi="Arial" w:cs="Arial"/>
                      <w:b/>
                      <w:color w:val="000000"/>
                      <w:sz w:val="16"/>
                      <w:szCs w:val="16"/>
                    </w:rPr>
                    <w:t>Abundance UCL</w:t>
                  </w:r>
                </w:p>
              </w:tc>
            </w:tr>
            <w:tr w:rsidR="003A5826" w14:paraId="63A128F4" w14:textId="77777777">
              <w:trPr>
                <w:jc w:val="center"/>
              </w:trPr>
              <w:tc>
                <w:tcPr>
                  <w:tcW w:w="1025"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A1A284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r>
                    <w:rPr>
                      <w:rFonts w:ascii="Arial" w:eastAsia="Arial" w:hAnsi="Arial" w:cs="Arial"/>
                      <w:color w:val="000000"/>
                      <w:sz w:val="16"/>
                      <w:szCs w:val="16"/>
                    </w:rPr>
                    <w:t>Glade</w:t>
                  </w:r>
                </w:p>
              </w:tc>
              <w:tc>
                <w:tcPr>
                  <w:tcW w:w="17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879EA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Release (July 2023)</w:t>
                  </w:r>
                </w:p>
              </w:tc>
              <w:tc>
                <w:tcPr>
                  <w:tcW w:w="188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DF5B3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1,224</w:t>
                  </w:r>
                </w:p>
              </w:tc>
              <w:tc>
                <w:tcPr>
                  <w:tcW w:w="153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BB3D4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p>
              </w:tc>
              <w:tc>
                <w:tcPr>
                  <w:tcW w:w="154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2B712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p>
              </w:tc>
            </w:tr>
            <w:tr w:rsidR="003A5826" w14:paraId="72C4ECBF"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8AD0A9B"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7CC0B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F9EF3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1,170</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5BF14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1,133</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44A6E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1,192</w:t>
                  </w:r>
                </w:p>
              </w:tc>
            </w:tr>
            <w:tr w:rsidR="003A5826" w14:paraId="2828EFA9"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7BB57FF"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2B87D0"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5F68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920</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D05DB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850</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A7C47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976</w:t>
                  </w:r>
                </w:p>
              </w:tc>
            </w:tr>
            <w:tr w:rsidR="003A5826" w14:paraId="2EAE31DC"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57EE58F"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97D8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90C6E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896</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2B949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807</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F0245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963</w:t>
                  </w:r>
                </w:p>
              </w:tc>
            </w:tr>
            <w:tr w:rsidR="003A5826" w14:paraId="75707B12"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BBB971E"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A13DB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March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C8FA2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863</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30B8B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752</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2B914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944</w:t>
                  </w:r>
                </w:p>
              </w:tc>
            </w:tr>
            <w:tr w:rsidR="003A5826" w14:paraId="63B04FBE"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72E6988"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937A5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C875A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757</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55732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627</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2FC54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858</w:t>
                  </w:r>
                </w:p>
              </w:tc>
            </w:tr>
            <w:tr w:rsidR="003A5826" w14:paraId="68616695"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DF01E23"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C1170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9E551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684</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34426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539</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E54A5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803</w:t>
                  </w:r>
                </w:p>
              </w:tc>
            </w:tr>
            <w:tr w:rsidR="003A5826" w14:paraId="10B3FD1E"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BA95BCF"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3413C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Sept.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E8863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615</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E712D7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455</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EB01E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751</w:t>
                  </w:r>
                </w:p>
              </w:tc>
            </w:tr>
            <w:tr w:rsidR="003A5826" w14:paraId="27DB32AA"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4021C5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0661D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E54BD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590</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9AD71D"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420</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3B37DF"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735</w:t>
                  </w:r>
                </w:p>
              </w:tc>
            </w:tr>
            <w:tr w:rsidR="003A5826" w14:paraId="7A1E2938" w14:textId="77777777">
              <w:trPr>
                <w:jc w:val="center"/>
              </w:trPr>
              <w:tc>
                <w:tcPr>
                  <w:tcW w:w="1025"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F3376A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r>
                    <w:rPr>
                      <w:rFonts w:ascii="Arial" w:eastAsia="Arial" w:hAnsi="Arial" w:cs="Arial"/>
                      <w:color w:val="000000"/>
                      <w:sz w:val="16"/>
                      <w:szCs w:val="16"/>
                    </w:rPr>
                    <w:t>Snakeden</w:t>
                  </w: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AD44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Release (July 2023)</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EA72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1,578</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B014BC"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182A5E"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p>
              </w:tc>
            </w:tr>
            <w:tr w:rsidR="003A5826" w14:paraId="7F45CF73" w14:textId="77777777">
              <w:trPr>
                <w:jc w:val="center"/>
              </w:trPr>
              <w:tc>
                <w:tcPr>
                  <w:tcW w:w="1025"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2037B6"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6306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7B15C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1,160</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EC4D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1,089</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D22E4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1,223</w:t>
                  </w:r>
                </w:p>
              </w:tc>
            </w:tr>
            <w:tr w:rsidR="003A5826" w14:paraId="460CFBED"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4346C6F"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0A95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CCE8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623</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C4181"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531</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999C4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716</w:t>
                  </w:r>
                </w:p>
              </w:tc>
            </w:tr>
            <w:tr w:rsidR="003A5826" w14:paraId="29F42B0D"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B298C6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FC85C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2024</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A4802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508</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D52AB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399</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D574F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621</w:t>
                  </w:r>
                </w:p>
              </w:tc>
            </w:tr>
            <w:tr w:rsidR="003A5826" w14:paraId="01CFD55F"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72461F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CF5589"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March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115EE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414</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73BB7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297</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EB600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538</w:t>
                  </w:r>
                </w:p>
              </w:tc>
            </w:tr>
            <w:tr w:rsidR="003A5826" w14:paraId="6FF154F4"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D395569"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E63F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July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9D6B1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289</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216CCE"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184</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57D774"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411</w:t>
                  </w:r>
                </w:p>
              </w:tc>
            </w:tr>
            <w:tr w:rsidR="003A5826" w14:paraId="70E809F4"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855105A"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60FBF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Aug.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AF70E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215</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8B018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120</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C7111A"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335</w:t>
                  </w:r>
                </w:p>
              </w:tc>
            </w:tr>
            <w:tr w:rsidR="003A5826" w14:paraId="46F43B1D" w14:textId="77777777">
              <w:trPr>
                <w:jc w:val="center"/>
              </w:trPr>
              <w:tc>
                <w:tcPr>
                  <w:tcW w:w="1025"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D2CB0E"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C4A3D8"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Sept. 2025</w:t>
                  </w:r>
                </w:p>
              </w:tc>
              <w:tc>
                <w:tcPr>
                  <w:tcW w:w="188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CE3B1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145</w:t>
                  </w:r>
                </w:p>
              </w:tc>
              <w:tc>
                <w:tcPr>
                  <w:tcW w:w="153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BD7583"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68</w:t>
                  </w:r>
                </w:p>
              </w:tc>
              <w:tc>
                <w:tcPr>
                  <w:tcW w:w="154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520E1C"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258</w:t>
                  </w:r>
                </w:p>
              </w:tc>
            </w:tr>
            <w:tr w:rsidR="003A5826" w14:paraId="1508FE1A" w14:textId="77777777">
              <w:trPr>
                <w:jc w:val="center"/>
              </w:trPr>
              <w:tc>
                <w:tcPr>
                  <w:tcW w:w="1025"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28C9371" w14:textId="77777777" w:rsidR="003A5826" w:rsidRDefault="003A5826">
                  <w:pPr>
                    <w:pBdr>
                      <w:top w:val="none" w:sz="0" w:space="0" w:color="000000"/>
                      <w:left w:val="none" w:sz="0" w:space="0" w:color="000000"/>
                      <w:bottom w:val="none" w:sz="0" w:space="0" w:color="000000"/>
                      <w:right w:val="none" w:sz="0" w:space="0" w:color="000000"/>
                    </w:pBdr>
                    <w:spacing w:before="40" w:after="40" w:line="240" w:lineRule="auto"/>
                    <w:ind w:left="60" w:right="60"/>
                    <w:rPr>
                      <w:rFonts w:ascii="Arial" w:eastAsia="Arial" w:hAnsi="Arial" w:cs="Arial"/>
                      <w:color w:val="000000"/>
                      <w:sz w:val="16"/>
                      <w:szCs w:val="16"/>
                    </w:rPr>
                  </w:pPr>
                </w:p>
              </w:tc>
              <w:tc>
                <w:tcPr>
                  <w:tcW w:w="17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1099B"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Oct. 2025</w:t>
                  </w:r>
                </w:p>
              </w:tc>
              <w:tc>
                <w:tcPr>
                  <w:tcW w:w="188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A3195"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111</w:t>
                  </w:r>
                </w:p>
              </w:tc>
              <w:tc>
                <w:tcPr>
                  <w:tcW w:w="153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AD1CC2"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43</w:t>
                  </w:r>
                </w:p>
              </w:tc>
              <w:tc>
                <w:tcPr>
                  <w:tcW w:w="154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53396" w14:textId="77777777" w:rsidR="003A5826" w:rsidRDefault="00000000">
                  <w:pPr>
                    <w:pBdr>
                      <w:top w:val="none" w:sz="0" w:space="0" w:color="000000"/>
                      <w:left w:val="none" w:sz="0" w:space="0" w:color="000000"/>
                      <w:bottom w:val="none" w:sz="0" w:space="0" w:color="000000"/>
                      <w:right w:val="none" w:sz="0" w:space="0" w:color="000000"/>
                    </w:pBdr>
                    <w:spacing w:before="40" w:after="40" w:line="240" w:lineRule="auto"/>
                    <w:ind w:left="60" w:right="60"/>
                    <w:jc w:val="center"/>
                    <w:rPr>
                      <w:rFonts w:ascii="Arial" w:eastAsia="Arial" w:hAnsi="Arial" w:cs="Arial"/>
                      <w:color w:val="000000"/>
                      <w:sz w:val="16"/>
                      <w:szCs w:val="16"/>
                    </w:rPr>
                  </w:pPr>
                  <w:r>
                    <w:rPr>
                      <w:rFonts w:ascii="Arial" w:eastAsia="Arial" w:hAnsi="Arial" w:cs="Arial"/>
                      <w:color w:val="000000"/>
                      <w:sz w:val="16"/>
                      <w:szCs w:val="16"/>
                    </w:rPr>
                    <w:t>223</w:t>
                  </w:r>
                </w:p>
              </w:tc>
            </w:tr>
            <w:bookmarkEnd w:id="12"/>
          </w:tbl>
          <w:p w14:paraId="1508E19F" w14:textId="77777777" w:rsidR="00000000" w:rsidRDefault="00000000">
            <w:pPr>
              <w:spacing w:after="0" w:line="240" w:lineRule="auto"/>
            </w:pPr>
          </w:p>
        </w:tc>
      </w:tr>
    </w:tbl>
    <w:p w14:paraId="565AB43C" w14:textId="77777777" w:rsidR="003A5826" w:rsidRDefault="00000000">
      <w:r>
        <w:br w:type="page"/>
      </w:r>
    </w:p>
    <w:p w14:paraId="70C13D82" w14:textId="77777777" w:rsidR="003A5826" w:rsidRDefault="00000000">
      <w:pPr>
        <w:pStyle w:val="Heading1"/>
      </w:pPr>
      <w:bookmarkStart w:id="13" w:name="references"/>
      <w:bookmarkEnd w:id="9"/>
      <w:r>
        <w:lastRenderedPageBreak/>
        <w:t>6. References</w:t>
      </w:r>
    </w:p>
    <w:p w14:paraId="40618AA7" w14:textId="77777777" w:rsidR="003A5826" w:rsidRDefault="00000000">
      <w:bookmarkStart w:id="14" w:name="X437bd82681b6244afc723f1058a320799156d9d"/>
      <w:bookmarkStart w:id="15" w:name="refs"/>
      <w:r>
        <w:t xml:space="preserve">Akaike, Hirotugu. 1973. “Information Theory as an Extension of the Maximum Likelihood Principle.” In </w:t>
      </w:r>
      <w:r>
        <w:rPr>
          <w:i/>
          <w:iCs/>
        </w:rPr>
        <w:t>Second International Symposium on Information Theory</w:t>
      </w:r>
      <w:r>
        <w:t>, edited by B N Petrov and F Cazakil, 267–81. Budapest, Hungary: Akademiai Kidao.</w:t>
      </w:r>
    </w:p>
    <w:p w14:paraId="79110E31" w14:textId="77777777" w:rsidR="003A5826" w:rsidRDefault="00000000">
      <w:bookmarkStart w:id="16" w:name="ref-burnham_1993_TheoryCombinedAnalysis"/>
      <w:bookmarkEnd w:id="14"/>
      <w:r>
        <w:t xml:space="preserve">Burnham, Kenneth P. 1993. “A Theory for Combined Analysis of Ring Recovery and Recapture Data.” In </w:t>
      </w:r>
      <w:r>
        <w:rPr>
          <w:i/>
          <w:iCs/>
        </w:rPr>
        <w:t>Marked Individuals in the Study of Bird Population</w:t>
      </w:r>
      <w:r>
        <w:t>, edited by Jean-Dominique Lebreton and P M North, 199–213. Basel, Switzerland: Birkhäuser Verlag.</w:t>
      </w:r>
    </w:p>
    <w:p w14:paraId="1E5A72BA" w14:textId="77777777" w:rsidR="003A5826" w:rsidRDefault="00000000">
      <w:bookmarkStart w:id="17" w:name="X3d765049c0b9d139b2bf4c37083a4031b8ade27"/>
      <w:bookmarkEnd w:id="16"/>
      <w:r>
        <w:t xml:space="preserve">Burnham, Kenneth P, and David R Anderson. 2002. </w:t>
      </w:r>
      <w:r>
        <w:rPr>
          <w:i/>
          <w:iCs/>
        </w:rPr>
        <w:t>Model Selection and Multimodel Inference: A Practical Information-Theoretic Approach</w:t>
      </w:r>
      <w:r>
        <w:t>. 2nd ed. New York: Springer-Verlag.</w:t>
      </w:r>
    </w:p>
    <w:p w14:paraId="0EF0060A" w14:textId="77777777" w:rsidR="003A5826" w:rsidRDefault="00000000">
      <w:bookmarkStart w:id="18" w:name="ref-sugiura_1978_FurtherAnalysisData"/>
      <w:bookmarkEnd w:id="17"/>
      <w:r>
        <w:t xml:space="preserve">Sugiura, Nariaki. 1978. “Further Analysis of the Data by Akaike’s Information Criterion and the Finite Corrections: Further Analysis of the Data by Akaike’s.” </w:t>
      </w:r>
      <w:r>
        <w:rPr>
          <w:i/>
          <w:iCs/>
        </w:rPr>
        <w:t>Communications in Statistics-Theory and Methods</w:t>
      </w:r>
      <w:r>
        <w:t xml:space="preserve"> 7 (1): 13–26.</w:t>
      </w:r>
    </w:p>
    <w:p w14:paraId="29247784" w14:textId="77777777" w:rsidR="003A5826" w:rsidRDefault="00000000">
      <w:bookmarkStart w:id="19" w:name="Xe040a3ee9170c3970aba188ecc23934f91c03aa"/>
      <w:bookmarkEnd w:id="18"/>
      <w:r>
        <w:t xml:space="preserve">White, Gary C, and Kenneth P Burnham. 1999. “Program MARK: Survival Estimation from Populations of Marked Animals.” </w:t>
      </w:r>
      <w:r>
        <w:rPr>
          <w:i/>
          <w:iCs/>
        </w:rPr>
        <w:t>Bird Study</w:t>
      </w:r>
      <w:r>
        <w:t xml:space="preserve"> 46 (S1): S120–39.</w:t>
      </w:r>
      <w:bookmarkEnd w:id="13"/>
      <w:bookmarkEnd w:id="15"/>
      <w:bookmarkEnd w:id="19"/>
    </w:p>
    <w:sectPr w:rsidR="003A5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14A2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711E1C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291222">
    <w:abstractNumId w:val="0"/>
  </w:num>
  <w:num w:numId="2" w16cid:durableId="1099567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7942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QuartoStyle"/>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8D2"/>
    <w:rsid w:val="000808BE"/>
    <w:rsid w:val="003027A8"/>
    <w:rsid w:val="003A5826"/>
    <w:rsid w:val="003E3AA1"/>
    <w:rsid w:val="005210FC"/>
    <w:rsid w:val="00532B75"/>
    <w:rsid w:val="00571F4E"/>
    <w:rsid w:val="00A648D2"/>
    <w:rsid w:val="00BE5BC1"/>
    <w:rsid w:val="00C71F29"/>
    <w:rsid w:val="00F4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DC96"/>
  <w15:docId w15:val="{49FBA55B-1B30-4DF5-BAFF-A09C5FF8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8D2"/>
    <w:rPr>
      <w:rFonts w:eastAsiaTheme="majorEastAsia" w:cstheme="majorBidi"/>
      <w:color w:val="272727" w:themeColor="text1" w:themeTint="D8"/>
    </w:rPr>
  </w:style>
  <w:style w:type="paragraph" w:styleId="Title">
    <w:name w:val="Title"/>
    <w:basedOn w:val="Normal"/>
    <w:next w:val="Normal"/>
    <w:link w:val="TitleChar"/>
    <w:uiPriority w:val="10"/>
    <w:qFormat/>
    <w:rsid w:val="00A6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8D2"/>
    <w:pPr>
      <w:spacing w:before="160"/>
      <w:jc w:val="center"/>
    </w:pPr>
    <w:rPr>
      <w:i/>
      <w:iCs/>
      <w:color w:val="404040" w:themeColor="text1" w:themeTint="BF"/>
    </w:rPr>
  </w:style>
  <w:style w:type="character" w:customStyle="1" w:styleId="QuoteChar">
    <w:name w:val="Quote Char"/>
    <w:basedOn w:val="DefaultParagraphFont"/>
    <w:link w:val="Quote"/>
    <w:uiPriority w:val="29"/>
    <w:rsid w:val="00A648D2"/>
    <w:rPr>
      <w:i/>
      <w:iCs/>
      <w:color w:val="404040" w:themeColor="text1" w:themeTint="BF"/>
    </w:rPr>
  </w:style>
  <w:style w:type="paragraph" w:styleId="ListParagraph">
    <w:name w:val="List Paragraph"/>
    <w:basedOn w:val="Normal"/>
    <w:uiPriority w:val="34"/>
    <w:qFormat/>
    <w:rsid w:val="00A648D2"/>
    <w:pPr>
      <w:ind w:left="720"/>
      <w:contextualSpacing/>
    </w:pPr>
  </w:style>
  <w:style w:type="character" w:styleId="IntenseEmphasis">
    <w:name w:val="Intense Emphasis"/>
    <w:basedOn w:val="DefaultParagraphFont"/>
    <w:uiPriority w:val="21"/>
    <w:qFormat/>
    <w:rsid w:val="00A648D2"/>
    <w:rPr>
      <w:i/>
      <w:iCs/>
      <w:color w:val="0F4761" w:themeColor="accent1" w:themeShade="BF"/>
    </w:rPr>
  </w:style>
  <w:style w:type="paragraph" w:styleId="IntenseQuote">
    <w:name w:val="Intense Quote"/>
    <w:basedOn w:val="Normal"/>
    <w:next w:val="Normal"/>
    <w:link w:val="IntenseQuoteChar"/>
    <w:uiPriority w:val="30"/>
    <w:qFormat/>
    <w:rsid w:val="00A64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8D2"/>
    <w:rPr>
      <w:i/>
      <w:iCs/>
      <w:color w:val="0F4761" w:themeColor="accent1" w:themeShade="BF"/>
    </w:rPr>
  </w:style>
  <w:style w:type="character" w:styleId="IntenseReference">
    <w:name w:val="Intense Reference"/>
    <w:basedOn w:val="DefaultParagraphFont"/>
    <w:uiPriority w:val="32"/>
    <w:qFormat/>
    <w:rsid w:val="00A648D2"/>
    <w:rPr>
      <w:b/>
      <w:bCs/>
      <w:smallCaps/>
      <w:color w:val="0F4761" w:themeColor="accent1" w:themeShade="BF"/>
      <w:spacing w:val="5"/>
    </w:rPr>
  </w:style>
  <w:style w:type="table" w:styleId="TableGrid">
    <w:name w:val="Table Grid"/>
    <w:basedOn w:val="TableNormal"/>
    <w:uiPriority w:val="39"/>
    <w:rsid w:val="00521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210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5210F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QuartoStyle">
    <w:name w:val="Quarto Style"/>
    <w:basedOn w:val="TableNormal"/>
    <w:uiPriority w:val="99"/>
    <w:rsid w:val="003E3AA1"/>
    <w:pPr>
      <w:spacing w:after="0" w:line="240" w:lineRule="auto"/>
    </w:pP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1837</Words>
  <Characters>10474</Characters>
  <Application>Microsoft Office Word</Application>
  <DocSecurity>0</DocSecurity>
  <Lines>87</Lines>
  <Paragraphs>24</Paragraphs>
  <ScaleCrop>false</ScaleCrop>
  <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Reston Mark-Recapture Methods</dc:title>
  <dc:creator/>
  <cp:keywords/>
  <cp:lastModifiedBy>Murray Hyde</cp:lastModifiedBy>
  <cp:revision>1</cp:revision>
  <dcterms:created xsi:type="dcterms:W3CDTF">2026-06-23T16:46:00Z</dcterms:created>
  <dcterms:modified xsi:type="dcterms:W3CDTF">2026-06-23T16:47:00Z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sections/references.bib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