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jpg" ContentType="image/jpeg"/>
  <Override PartName="/word/media/rId3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Reston Mark-Recapture Methods</w:t>
      </w:r>
    </w:p>
    <w:bookmarkStart w:id="23" w:name="methods"/>
    <w:p>
      <w:pPr>
        <w:pStyle w:val="Heading1"/>
      </w:pPr>
      <w:r>
        <w:t xml:space="preserve">1. Methods</w:t>
      </w:r>
    </w:p>
    <w:bookmarkStart w:id="20" w:name="mark-recapture-sampling"/>
    <w:p>
      <w:pPr>
        <w:pStyle w:val="Heading2"/>
      </w:pPr>
      <w:r>
        <w:t xml:space="preserve">1.1 Mark-recapture sampling</w:t>
      </w:r>
    </w:p>
    <w:p>
      <w:pPr>
        <w:pStyle w:val="FirstParagraph"/>
      </w:pPr>
      <w:r>
        <w:t xml:space="preserve">We released a total of 2802 adult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at two second-order tributaries to the Potomac River.</w:t>
      </w:r>
      <w:r>
        <w:t xml:space="preserve"> </w:t>
      </w:r>
      <w:r>
        <w:t xml:space="preserve">We released 1224 at Glade Run (38.93031, -77.34245) on July 26, 2023, and 1578 at Snakeden Run (38.9238, -77.33168) on July 27.</w:t>
      </w:r>
      <w:r>
        <w:t xml:space="preserve"> </w:t>
      </w:r>
      <w:r>
        <w:t xml:space="preserve">All releases were uniquely tagged with Hallprint glue-on shellfish tags such that the individual mussel could be later identified.</w:t>
      </w:r>
      <w:r>
        <w:t xml:space="preserve"> </w:t>
      </w:r>
      <w:r>
        <w:t xml:space="preserve">Each site was later sampled a total of eight times from July 2023 to September 2024</w:t>
      </w:r>
      <w:r>
        <w:t xml:space="preserve"> </w:t>
      </w:r>
      <w:r>
        <w:t xml:space="preserve">We sampled the entire area of the site twice by snorkeling (TODO Add table of dates here?).</w:t>
      </w:r>
      <w:r>
        <w:t xml:space="preserve"> </w:t>
      </w:r>
      <w:r>
        <w:t xml:space="preserve">For each mussel encountered, we measured its overall length and recorded the unique tag number.</w:t>
      </w:r>
      <w:r>
        <w:t xml:space="preserve"> </w:t>
      </w:r>
      <w:r>
        <w:t xml:space="preserve">Any untagged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found on these occasions were tagged.</w:t>
      </w:r>
      <w:r>
        <w:t xml:space="preserve"> </w:t>
      </w:r>
      <w:r>
        <w:t xml:space="preserve">Becuase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did not occur at either site prior to the 2023 release, these untagged individuals represented previously tagged mussels whose tags were lost.</w:t>
      </w:r>
    </w:p>
    <w:bookmarkEnd w:id="20"/>
    <w:bookmarkStart w:id="21" w:name="popan-description"/>
    <w:p>
      <w:pPr>
        <w:pStyle w:val="Heading2"/>
      </w:pPr>
      <w:r>
        <w:t xml:space="preserve">1.2 POPAN description</w:t>
      </w:r>
    </w:p>
    <w:p>
      <w:pPr>
        <w:pStyle w:val="FirstParagraph"/>
      </w:pPr>
      <w:r>
        <w:t xml:space="preserve">We were interested primarily in estimating survival of the release cohort over time.</w:t>
      </w:r>
      <w:r>
        <w:t xml:space="preserve"> </w:t>
      </w:r>
      <w:r>
        <w:t xml:space="preserve">Because we also found a high proportion of dead mussels during sampling, we used Burnham’s joint recovery model which incorporates both live encounters and dead recoveries (</w:t>
      </w:r>
      <w:r>
        <w:t xml:space="preserve">(</w:t>
      </w:r>
      <w:r>
        <w:rPr>
          <w:b/>
          <w:bCs/>
        </w:rPr>
        <w:t xml:space="preserve">BURNHAM?</w:t>
      </w:r>
      <w:r>
        <w:t xml:space="preserve">)</w:t>
      </w:r>
      <w:r>
        <w:t xml:space="preserve"> </w:t>
      </w:r>
      <w:r>
        <w:t xml:space="preserve">1993) to analyze our mark-recapture data.</w:t>
      </w:r>
      <w:r>
        <w:t xml:space="preserve"> </w:t>
      </w:r>
      <w:r>
        <w:t xml:space="preserve">The Burnham model is an open population model that allows for the estimation of both apparent survival and population size.</w:t>
      </w:r>
      <w:r>
        <w:t xml:space="preserve"> </w:t>
      </w:r>
      <w:r>
        <w:t xml:space="preserve">It has four model parameters that are directly estimated: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: probability of an individual surviving from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probability of an individual being captured alive at occasion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: probability of an individual being recovered dead between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: probability of an individual remaining in the sample area (i.e., fidelity)</w:t>
      </w:r>
    </w:p>
    <w:p>
      <w:pPr>
        <w:pStyle w:val="FirstParagraph"/>
      </w:pPr>
      <w:r>
        <w:t xml:space="preserve">Because the area for dead and live recoveries was the same, we fixed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1 for all occasions.</w:t>
      </w:r>
    </w:p>
    <w:bookmarkEnd w:id="21"/>
    <w:bookmarkStart w:id="22" w:name="data-analysis"/>
    <w:p>
      <w:pPr>
        <w:pStyle w:val="Heading2"/>
      </w:pPr>
      <w:r>
        <w:t xml:space="preserve">1.3 Data Analysis</w:t>
      </w:r>
    </w:p>
    <w:p>
      <w:pPr>
        <w:pStyle w:val="FirstParagraph"/>
      </w:pPr>
      <w:r>
        <w:t xml:space="preserve">Release data for the 2023 cohort were combined with data from the eight sampling occasions in 2024 and 2025.</w:t>
      </w:r>
      <w:r>
        <w:t xml:space="preserve"> </w:t>
      </w:r>
      <w:r>
        <w:t xml:space="preserve">A set of candidate models were developed under the Burnham model for estimating.</w:t>
      </w:r>
      <w:r>
        <w:t xml:space="preserve"> </w:t>
      </w:r>
      <w:r>
        <w:t xml:space="preserve">Each candidate model represents a set of hypotheses regarding the four model parameters of the Burnham model (e.g., survival varies over time or is constant).</w:t>
      </w:r>
      <w:r>
        <w:t xml:space="preserve"> </w:t>
      </w:r>
      <w:r>
        <w:t xml:space="preserve">For all models,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(fidelity) was fixed to 1.</w:t>
      </w:r>
      <w:r>
        <w:t xml:space="preserve"> </w:t>
      </w:r>
      <w:r>
        <w:t xml:space="preserve">We constructed candidate models where: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varied between each sampling occasion (</w:t>
      </w:r>
      <m:oMath>
        <m:r>
          <m:t>t</m:t>
        </m:r>
      </m:oMath>
      <w:r>
        <w:t xml:space="preserve">), was constant between all occasions(</w:t>
      </w:r>
      <m:oMath>
        <m:r>
          <m:rPr>
            <m:sty m:val="p"/>
          </m:rPr>
          <m:t>.</m:t>
        </m:r>
      </m:oMath>
      <w:r>
        <w:t xml:space="preserve">),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),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</m:oMath>
      <w:r>
        <w:t xml:space="preserve"> </w:t>
      </w:r>
      <w:r>
        <w:t xml:space="preserve">was constant over all occasions(</w:t>
      </w:r>
      <m:oMath>
        <m:r>
          <m:rPr>
            <m:sty m:val="p"/>
          </m:rPr>
          <m:t>.</m:t>
        </m:r>
      </m:oMath>
      <w:r>
        <w:t xml:space="preserve">)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),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t xml:space="preserve"> </w:t>
      </w:r>
      <w:r>
        <w:t xml:space="preserve">was constant over all occasions(</w:t>
      </w:r>
      <m:oMath>
        <m:r>
          <m:rPr>
            <m:sty m:val="p"/>
          </m:rPr>
          <m:t>.</m:t>
        </m:r>
      </m:oMath>
      <w:r>
        <w:t xml:space="preserve">)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).</w:t>
      </w:r>
    </w:p>
    <w:p>
      <w:pPr>
        <w:pStyle w:val="FirstParagraph"/>
      </w:pPr>
      <w:r>
        <w:t xml:space="preserve">This resulted in 12 total models in the candidate model set.</w:t>
      </w:r>
      <w:r>
        <w:t xml:space="preserve"> </w:t>
      </w:r>
      <w:r>
        <w:t xml:space="preserve">We analyzed each site separately because there was limited connectivity between sites.</w:t>
      </w:r>
    </w:p>
    <w:p>
      <w:pPr>
        <w:pStyle w:val="BodyText"/>
      </w:pPr>
      <w:r>
        <w:t xml:space="preserve">For each site, we analyzed our set of candidate models using Program MARK (</w:t>
      </w:r>
      <w:r>
        <w:t xml:space="preserve">White and Burnham (1999)</w:t>
      </w:r>
      <w:r>
        <w:t xml:space="preserve">) to determine which model had the highest likelihood using an information criteria approach that balances the goodness-of-fit with model complexity to rank the models (</w:t>
      </w:r>
      <w:r>
        <w:t xml:space="preserve">Burnham and Anderson (2002)</w:t>
      </w:r>
      <w:r>
        <w:t xml:space="preserve">).</w:t>
      </w:r>
      <w:r>
        <w:t xml:space="preserve"> </w:t>
      </w:r>
      <w:r>
        <w:t xml:space="preserve">We used RMARK (an R package that runs MARK) to build and analyze models.</w:t>
      </w:r>
      <w:r>
        <w:t xml:space="preserve"> </w:t>
      </w:r>
      <w:r>
        <w:t xml:space="preserve">The likelihood of each candidate model was calculated using Akaike’s Information Criterion (AIC) (</w:t>
      </w:r>
      <w:r>
        <w:t xml:space="preserve">Akaike (1973)</w:t>
      </w:r>
      <w:r>
        <w:t xml:space="preserve">) modified for small sample sizes (AICc) (</w:t>
      </w:r>
      <w:r>
        <w:t xml:space="preserve">Sugiura (1978)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𝐴</m:t>
          </m:r>
          <m:r>
            <m:t>𝐼</m:t>
          </m:r>
          <m:r>
            <m:t>𝐶</m:t>
          </m:r>
          <m:r>
            <m:t>𝑐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l</m:t>
          </m:r>
          <m:r>
            <m:t>o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𝐿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̂</m:t>
                      </m:r>
                    </m:e>
                  </m:acc>
                </m:e>
              </m:d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𝐾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𝐾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𝑛</m:t>
              </m:r>
              <m:r>
                <m:rPr>
                  <m:sty m:val="p"/>
                </m:rPr>
                <m:t>−</m:t>
              </m:r>
              <m:r>
                <m:t>𝐾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𝐿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  <m:r>
                  <m:rPr>
                    <m:sty m:val="p"/>
                  </m:rPr>
                  <m:t>̂</m:t>
                </m:r>
              </m:e>
            </m:acc>
          </m:e>
        </m:d>
      </m:oMath>
      <w:r>
        <w:t xml:space="preserve"> </w:t>
      </w:r>
      <w:r>
        <w:t xml:space="preserve">is the likelihood of the parameter estimates, given the data,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parameters,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  <w:r>
        <w:t xml:space="preserve"> </w:t>
      </w:r>
      <w:r>
        <w:t xml:space="preserve">Normally, the best model is the one with the lowest</w:t>
      </w:r>
      <w:r>
        <w:t xml:space="preserve"> </w:t>
      </w:r>
      <m:oMath>
        <m:r>
          <m:t>A</m:t>
        </m:r>
        <m:r>
          <m:t>I</m:t>
        </m:r>
        <m:r>
          <m:t>C</m:t>
        </m:r>
        <m:r>
          <m:t>c</m:t>
        </m:r>
      </m:oMath>
      <w:r>
        <w:t xml:space="preserve"> </w:t>
      </w:r>
      <w:r>
        <w:t xml:space="preserve">score and other models are considered competing if</w:t>
      </w:r>
      <w:r>
        <w:t xml:space="preserve"> </w:t>
      </w:r>
      <m:oMath>
        <m:r>
          <m:t>Δ</m:t>
        </m:r>
        <m:r>
          <m:t>A</m:t>
        </m:r>
        <m:r>
          <m:t>I</m:t>
        </m:r>
        <m:r>
          <m:t>C</m:t>
        </m:r>
      </m:oMath>
      <w:r>
        <w:t xml:space="preserve"> </w:t>
      </w:r>
      <w:r>
        <w:t xml:space="preserve">&lt;2.0 (</w:t>
      </w:r>
      <w:r>
        <w:t xml:space="preserve">Burnham and Anderson (2002)</w:t>
      </w:r>
      <w:r>
        <w:t xml:space="preserve">).</w:t>
      </w:r>
      <w:r>
        <w:t xml:space="preserve"> </w:t>
      </w:r>
      <w:r>
        <w:t xml:space="preserve">Based on this analysis, we selected the preferred model.</w:t>
      </w:r>
    </w:p>
    <w:p>
      <w:pPr>
        <w:pStyle w:val="BodyText"/>
      </w:pPr>
      <w:r>
        <w:t xml:space="preserve">Finally, we calculated the expected abundance using survival estimates for the selected model of each site.</w:t>
      </w:r>
      <w:r>
        <w:t xml:space="preserve"> </w:t>
      </w:r>
      <w:r>
        <w:t xml:space="preserve">The Burnham model does not directly calculate abundance as either a real or derived parameter.</w:t>
      </w:r>
      <w:r>
        <w:t xml:space="preserve"> </w:t>
      </w:r>
      <w:r>
        <w:t xml:space="preserve">For this study, we were tracking a single release cohort over time.</w:t>
      </w:r>
      <w:r>
        <w:t xml:space="preserve"> </w:t>
      </w:r>
      <w:r>
        <w:t xml:space="preserve">Consequently we calculated the expected abundance using survival estimates from the selected model of each site.</w:t>
      </w:r>
    </w:p>
    <w:bookmarkEnd w:id="22"/>
    <w:bookmarkEnd w:id="23"/>
    <w:bookmarkStart w:id="24" w:name="results"/>
    <w:p>
      <w:pPr>
        <w:pStyle w:val="Heading1"/>
      </w:pPr>
      <w:r>
        <w:t xml:space="preserve">2. Results</w:t>
      </w:r>
    </w:p>
    <w:p>
      <w:pPr>
        <w:pStyle w:val="FirstParagraph"/>
      </w:pPr>
      <w:r>
        <w:t xml:space="preserve">The top model for Snakeden Run based on</w:t>
      </w:r>
      <w:r>
        <w:t xml:space="preserve"> </w:t>
      </w:r>
      <m:oMath>
        <m:r>
          <m:t>A</m:t>
        </m:r>
        <m:r>
          <m:t>I</m:t>
        </m:r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was</w:t>
      </w:r>
      <w:r>
        <w:t xml:space="preserve"> 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</m:oMath>
      <w:r>
        <w:t xml:space="preserve">.</w:t>
      </w:r>
      <w:r>
        <w:t xml:space="preserve"> </w:t>
      </w:r>
      <w:r>
        <w:t xml:space="preserve">However, estimates for several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parameters failed to converge.</w:t>
      </w:r>
      <w:r>
        <w:t xml:space="preserve"> </w:t>
      </w:r>
      <w:r>
        <w:t xml:space="preserve">Similarly, the second model (S_(time) p_(.) r_(year)), had similar convergence issues for some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Consequently, we selected the third model (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.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.</m:t>
                </m:r>
              </m:e>
            </m:d>
          </m:sub>
        </m:sSub>
      </m:oMath>
      <w:r>
        <w:t xml:space="preserve">) for estimating survival and abundance at Snakeden Run.</w:t>
      </w:r>
    </w:p>
    <w:p>
      <w:pPr>
        <w:pStyle w:val="BodyText"/>
      </w:pPr>
      <w:r>
        <w:t xml:space="preserve">The top model for Glade Run was (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</m:oMath>
      <w:r>
        <w:t xml:space="preserve">).</w:t>
      </w:r>
      <w:r>
        <w:t xml:space="preserve"> </w:t>
      </w:r>
      <w:r>
        <w:t xml:space="preserve">Some estimates of both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parameters failed to converge.</w:t>
      </w:r>
      <w:r>
        <w:t xml:space="preserve"> </w:t>
      </w:r>
      <w:r>
        <w:t xml:space="preserve">Consequently we selected the second model (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.</m:t>
                </m:r>
              </m:e>
            </m:d>
          </m:sub>
        </m:sSub>
      </m:oMath>
      <w:r>
        <w:t xml:space="preserve">) for estimating survival and abundance at Glade Run.</w:t>
      </w:r>
    </w:p>
    <w:p>
      <w:pPr>
        <w:pStyle w:val="BodyText"/>
      </w:pPr>
      <w:r>
        <w:t xml:space="preserve">Survival estimates ranged from X to Y at Snakeden Run and X to Y at Glade Run (Table reference and</w:t>
      </w:r>
      <w:r>
        <w:t xml:space="preserve"> </w:t>
      </w:r>
      <w:hyperlink w:anchor="fig-survival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Abundance estimates ranged from X to Y at Snakeden Run and X to Y at Glade Run.</w:t>
      </w:r>
      <w:r>
        <w:br/>
      </w:r>
      <w:r>
        <w:t xml:space="preserve">These estimates were directly derived from the release cohort and survival estimates of each site.</w:t>
      </w:r>
    </w:p>
    <w:p>
      <w:pPr>
        <w:pStyle w:val="BodyText"/>
      </w:pPr>
      <w:r>
        <w:t xml:space="preserve">Similar to apparent survival, abundance estimates were higher for the Harrison Lake cohorts for both species.</w:t>
      </w:r>
      <w:r>
        <w:t xml:space="preserve"> </w:t>
      </w:r>
      <w:r>
        <w:t xml:space="preserve">This difference was less pronounced when reporting abundance estimates as a percentage of the size of the release cohort (</w:t>
      </w:r>
      <w:hyperlink w:anchor="fig-abundance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In either case, abundance estimates of the uniquely tagged FMCC cohorts were substantially lower than Harrison Lake cohorts.</w:t>
      </w:r>
      <w:r>
        <w:t xml:space="preserve"> </w:t>
      </w:r>
      <w:r>
        <w:t xml:space="preserve">However, FMCC released a substantial number of non-uniquely tagged and untagged mussels.</w:t>
      </w:r>
      <w:r>
        <w:t xml:space="preserve"> </w:t>
      </w:r>
      <w:r>
        <w:t xml:space="preserve">Applying the estimated survival to the entire release cohort of FMCC mussels resulted in abundance estimates ranging from X to Y for</w:t>
      </w:r>
      <w:r>
        <w:t xml:space="preserve"> </w:t>
      </w:r>
      <w:r>
        <w:rPr>
          <w:i/>
          <w:iCs/>
        </w:rPr>
        <w:t xml:space="preserve">A. varicosa</w:t>
      </w:r>
      <w:r>
        <w:t xml:space="preserve"> </w:t>
      </w:r>
      <w:r>
        <w:t xml:space="preserve">and X to Y for</w:t>
      </w:r>
      <w:r>
        <w:t xml:space="preserve"> </w:t>
      </w:r>
      <w:r>
        <w:rPr>
          <w:i/>
          <w:iCs/>
        </w:rPr>
        <w:t xml:space="preserve">E. complanata</w:t>
      </w:r>
      <w:r>
        <w:t xml:space="preserve"> </w:t>
      </w:r>
      <w:r>
        <w:t xml:space="preserve">(tbl-abundance_all and fig-abundance-all).</w:t>
      </w:r>
    </w:p>
    <w:bookmarkEnd w:id="24"/>
    <w:bookmarkStart w:id="25" w:name="discussion"/>
    <w:p>
      <w:pPr>
        <w:pStyle w:val="Heading1"/>
      </w:pPr>
      <w:r>
        <w:t xml:space="preserve">3. Discussion</w:t>
      </w:r>
    </w:p>
    <w:p>
      <w:pPr>
        <w:pStyle w:val="FirstParagraph"/>
      </w:pPr>
      <w:r>
        <w:t xml:space="preserve">Survival was higher at Glade Run for all occasions. This is possibly due to the higher gradient</w:t>
      </w:r>
      <w:r>
        <w:t xml:space="preserve"> </w:t>
      </w:r>
      <w:r>
        <w:rPr>
          <w:b/>
          <w:bCs/>
        </w:rPr>
        <w:t xml:space="preserve">See report for description here</w:t>
      </w:r>
      <w:r>
        <w:t xml:space="preserve">.</w:t>
      </w:r>
      <w:r>
        <w:t xml:space="preserve"> </w:t>
      </w:r>
      <w:r>
        <w:t xml:space="preserve">Abundance estimates seem to match naive estimates of abundance based on raw number of mussels observed alive at each occasion.</w:t>
      </w:r>
      <w:r>
        <w:t xml:space="preserve"> </w:t>
      </w:r>
      <w:r>
        <w:t xml:space="preserve">However, it is possible that our survival estimates are slightly underestimated compared to true survival.</w:t>
      </w:r>
      <w:r>
        <w:t xml:space="preserve"> </w:t>
      </w:r>
      <w:r>
        <w:t xml:space="preserve">There was high tag loss (</w:t>
      </w:r>
      <w:r>
        <w:rPr>
          <w:b/>
          <w:bCs/>
        </w:rPr>
        <w:t xml:space="preserve">%here</w:t>
      </w:r>
      <w:r>
        <w:t xml:space="preserve">) at each site.</w:t>
      </w:r>
      <w:r>
        <w:t xml:space="preserve"> </w:t>
      </w:r>
      <w:r>
        <w:t xml:space="preserve">Individuals with lost tags are modeled as if they were not seen again, which has the effect of underestiamting survival (</w:t>
      </w:r>
      <w:r>
        <w:rPr>
          <w:b/>
          <w:bCs/>
        </w:rPr>
        <w:t xml:space="preserve">reference</w:t>
      </w:r>
      <w:r>
        <w:t xml:space="preserve">)</w:t>
      </w:r>
    </w:p>
    <w:p>
      <w:pPr>
        <w:pStyle w:val="BodyText"/>
      </w:pPr>
      <w:r>
        <w:t xml:space="preserve">Survival was generally higher for Harrison Lake cohorts compared to FMCC for each species.</w:t>
      </w:r>
      <w:r>
        <w:t xml:space="preserve"> </w:t>
      </w:r>
      <w:r>
        <w:t xml:space="preserve">One possible reason for this is because FMCC released smaller individuals than Harrison Lake.</w:t>
      </w:r>
      <w:r>
        <w:t xml:space="preserve"> </w:t>
      </w:r>
      <w:r>
        <w:t xml:space="preserve">We would expect these smaller mussels to have a lower survival rate than older, larger mussels.</w:t>
      </w:r>
      <w:r>
        <w:t xml:space="preserve"> </w:t>
      </w:r>
      <w:r>
        <w:t xml:space="preserve">This effect was more pronounced for</w:t>
      </w:r>
      <w:r>
        <w:t xml:space="preserve"> </w:t>
      </w:r>
      <w:r>
        <w:rPr>
          <w:i/>
          <w:iCs/>
        </w:rPr>
        <w:t xml:space="preserve">A. varicosa</w:t>
      </w:r>
      <w:r>
        <w:t xml:space="preserve">.</w:t>
      </w:r>
      <w:r>
        <w:t xml:space="preserve"> </w:t>
      </w:r>
      <w:r>
        <w:t xml:space="preserve">While smaller sizes likely contributed to this, it is also possible that the small size and low recapture rate of the FMCC release cohort of</w:t>
      </w:r>
      <w:r>
        <w:t xml:space="preserve"> </w:t>
      </w:r>
      <w:r>
        <w:rPr>
          <w:i/>
          <w:iCs/>
        </w:rPr>
        <w:t xml:space="preserve">A. varicosa</w:t>
      </w:r>
      <w:r>
        <w:t xml:space="preserve"> </w:t>
      </w:r>
      <w:r>
        <w:t xml:space="preserve">affected estimates of survival.</w:t>
      </w:r>
      <w:r>
        <w:t xml:space="preserve"> </w:t>
      </w:r>
      <w:r>
        <w:t xml:space="preserve">The model used for estimation did not allow detectability to vary between facilities.</w:t>
      </w:r>
      <w:r>
        <w:t xml:space="preserve"> </w:t>
      </w:r>
      <w:r>
        <w:t xml:space="preserve">However, of the 34 uniquely tagged mussels released by FMCC, we observed only 4 at least once over all sampling occasions, whereas 211 of the 245 Harrison Lake releases were observed.</w:t>
      </w:r>
      <w:r>
        <w:t xml:space="preserve"> </w:t>
      </w:r>
      <w:r>
        <w:t xml:space="preserve">It is more likely that the data for uniquely tagged, FMCC</w:t>
      </w:r>
      <w:r>
        <w:t xml:space="preserve"> </w:t>
      </w:r>
      <w:r>
        <w:rPr>
          <w:i/>
          <w:iCs/>
        </w:rPr>
        <w:t xml:space="preserve">A. varicosa</w:t>
      </w:r>
      <w:r>
        <w:t xml:space="preserve"> </w:t>
      </w:r>
      <w:r>
        <w:t xml:space="preserve">were too sparse for our selected model to estimate their detectability separately from Harrison Lake releases.</w:t>
      </w:r>
      <w:r>
        <w:t xml:space="preserve"> </w:t>
      </w:r>
      <w:r>
        <w:t xml:space="preserve">Given that the selected model assumes detectability is high and that survival estimates are linked to detectability, we expect that the true survival for FMCC</w:t>
      </w:r>
      <w:r>
        <w:t xml:space="preserve"> </w:t>
      </w:r>
      <w:r>
        <w:rPr>
          <w:i/>
          <w:iCs/>
        </w:rPr>
        <w:t xml:space="preserve">A. varicosa</w:t>
      </w:r>
      <w:r>
        <w:t xml:space="preserve"> </w:t>
      </w:r>
      <w:r>
        <w:t xml:space="preserve">is likely somewhat higher than estimated here.</w:t>
      </w:r>
      <w:r>
        <w:t xml:space="preserve"> </w:t>
      </w:r>
      <w:r>
        <w:t xml:space="preserve">Essentially, if detectability is high and the data indicates very few mussels were observed, then survival must by necessity be low.</w:t>
      </w:r>
    </w:p>
    <w:bookmarkEnd w:id="25"/>
    <w:bookmarkStart w:id="34" w:name="figures"/>
    <w:p>
      <w:pPr>
        <w:pStyle w:val="Heading1"/>
      </w:pPr>
      <w:r>
        <w:t xml:space="preserve">4. 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ival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../results/figures/05a_alt_model_results/Figure_1_survival_selected_model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Survival estimates from the selected Burnham joint model. Error bars indicate 95% CIs. Note that intervals are unequal. Estimates are the actual survival from one occasion to the next and cannot be directly compared.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abundanc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../results/figures/05a_alt_model_results/Figure_2_abundance_selected_model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Abundance estimates from the selected Burnham joint model. Error bars indicate 95% CIs.</w:t>
            </w:r>
          </w:p>
          <w:bookmarkEnd w:id="33"/>
        </w:tc>
      </w:tr>
    </w:tbl>
    <w:bookmarkEnd w:id="34"/>
    <w:bookmarkStart w:id="36" w:name="tables"/>
    <w:p>
      <w:pPr>
        <w:pStyle w:val="Heading1"/>
      </w:pPr>
      <w:r>
        <w:t xml:space="preserve">5.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abund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Abundance estimates from the selected POPAN model. Each row (i.e., species) represents results from a single analysis/model.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52"/>
              <w:gridCol w:w="821"/>
              <w:gridCol w:w="821"/>
              <w:gridCol w:w="821"/>
              <w:gridCol w:w="821"/>
              <w:gridCol w:w="821"/>
              <w:gridCol w:w="821"/>
              <w:gridCol w:w="821"/>
              <w:gridCol w:w="821"/>
              <w:gridCol w:w="821"/>
            </w:tblGrid>
            <w:tr>
              <w:trPr>
                <w:trHeight w:val="36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Occasion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Monthly Survival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Monthly Survival 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Monthly Survival LCL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Monthly Survival UCL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Occasion Survival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Occasion Survival 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Occasion Survival LCL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Occasion Survival UCL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Glade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July 2023 - July 2024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Glade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July 2024 - Aug. 2024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0.14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0.59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Glade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Aug. 2024 - Oct. 2024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Glade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Oct. 2024 - March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Glade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March 2025 - July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0.16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0.91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Glade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July 2025 - Aug.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0.42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Glade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Aug. 2025 - Sept.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0.14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Glade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Sept. 2025 - Oct.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0.98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Snakeden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July 2023 - July 2024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Snakeden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July 2024 - Aug. 2024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0.54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0.54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0.49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0.59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Snakeden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Aug. 2024 - Oct. 2024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0.17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Snakeden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Oct. 2024 - March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0.13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Snakeden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March 2025 - July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0.62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0.76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Snakeden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July 2025 - Aug.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0.82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Snakeden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Aug. 2025 - Sept. 2025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0.44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0.68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0.57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0.77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Snakeden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Sept. 2025 - Oct. 2025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0.29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0.67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0.76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0.64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60" w:right="6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0000"/>
                    </w:rPr>
                    <w:t xml:space="preserve">0.87</w:t>
                  </w:r>
                </w:p>
              </w:tc>
            </w:tr>
          </w:tbl>
          <w:bookmarkEnd w:id="35"/>
        </w:tc>
      </w:tr>
    </w:tbl>
    <w:p>
      <w:r>
        <w:br w:type="page"/>
      </w:r>
    </w:p>
    <w:p>
      <w:r>
        <w:br w:type="page"/>
      </w:r>
    </w:p>
    <w:bookmarkEnd w:id="36"/>
    <w:bookmarkStart w:id="42" w:name="references"/>
    <w:p>
      <w:pPr>
        <w:pStyle w:val="Heading1"/>
      </w:pPr>
      <w:r>
        <w:t xml:space="preserve">6. References</w:t>
      </w:r>
    </w:p>
    <w:bookmarkStart w:id="41" w:name="refs"/>
    <w:bookmarkStart w:id="37" w:name="X437bd82681b6244afc723f1058a320799156d9d"/>
    <w:p>
      <w:pPr>
        <w:pStyle w:val="Bibliography"/>
      </w:pPr>
      <w:r>
        <w:t xml:space="preserve">Akaike, Hirotugu. 1973.</w:t>
      </w:r>
      <w:r>
        <w:t xml:space="preserve"> </w:t>
      </w:r>
      <w:r>
        <w:t xml:space="preserve">“Information Theory as an Extension of the Maximum Likelihood Principle.”</w:t>
      </w:r>
      <w:r>
        <w:t xml:space="preserve"> In</w:t>
      </w:r>
      <w:r>
        <w:t xml:space="preserve"> </w:t>
      </w:r>
      <w:r>
        <w:rPr>
          <w:i/>
          <w:iCs/>
        </w:rPr>
        <w:t xml:space="preserve">Second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Symposium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Theory</w:t>
      </w:r>
      <w:r>
        <w:t xml:space="preserve">, edited by B N Petrov and F Cazakil, 267–81. Budapest, Hungary: Akademiai Kidao.</w:t>
      </w:r>
    </w:p>
    <w:bookmarkEnd w:id="37"/>
    <w:bookmarkStart w:id="38" w:name="X3d765049c0b9d139b2bf4c37083a4031b8ade27"/>
    <w:p>
      <w:pPr>
        <w:pStyle w:val="Bibliography"/>
      </w:pPr>
      <w:r>
        <w:t xml:space="preserve">Burnham, Kenneth P, and David R Anderson. 2002.</w:t>
      </w:r>
      <w:r>
        <w:t xml:space="preserve"> </w:t>
      </w:r>
      <w:r>
        <w:rPr>
          <w:i/>
          <w:iCs/>
        </w:rPr>
        <w:t xml:space="preserve">Model</w:t>
      </w:r>
      <w:r>
        <w:rPr>
          <w:i/>
          <w:iCs/>
        </w:rPr>
        <w:t xml:space="preserve"> </w:t>
      </w:r>
      <w:r>
        <w:rPr>
          <w:i/>
          <w:iCs/>
        </w:rPr>
        <w:t xml:space="preserve">Selection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Multimodel Inference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Information-Theoretic Approach</w:t>
      </w:r>
      <w:r>
        <w:t xml:space="preserve">. 2nd ed. New York: Springer-Verlag.</w:t>
      </w:r>
    </w:p>
    <w:bookmarkEnd w:id="38"/>
    <w:bookmarkStart w:id="39" w:name="ref-sugiura_1978_FurtherAnalysisData"/>
    <w:p>
      <w:pPr>
        <w:pStyle w:val="Bibliography"/>
      </w:pPr>
      <w:r>
        <w:t xml:space="preserve">Sugiura, Nariaki. 1978.</w:t>
      </w:r>
      <w:r>
        <w:t xml:space="preserve"> </w:t>
      </w:r>
      <w:r>
        <w:t xml:space="preserve">“Further Analysis of the Data by</w:t>
      </w:r>
      <w:r>
        <w:t xml:space="preserve"> </w:t>
      </w:r>
      <w:r>
        <w:t xml:space="preserve">Akaike</w:t>
      </w:r>
      <w:r>
        <w:t xml:space="preserve">’s Information Criterion and the Finite Corrections: Further Analysis of the Data by</w:t>
      </w:r>
      <w:r>
        <w:t xml:space="preserve"> </w:t>
      </w:r>
      <w:r>
        <w:t xml:space="preserve">Akaike</w:t>
      </w:r>
      <w:r>
        <w:t xml:space="preserve">’s.”</w:t>
      </w:r>
      <w:r>
        <w:t xml:space="preserve"> </w:t>
      </w:r>
      <w:r>
        <w:rPr>
          <w:i/>
          <w:iCs/>
        </w:rPr>
        <w:t xml:space="preserve">Communications in Statistics-Theory and Methods</w:t>
      </w:r>
      <w:r>
        <w:t xml:space="preserve"> </w:t>
      </w:r>
      <w:r>
        <w:t xml:space="preserve">7 (1): 13–26.</w:t>
      </w:r>
    </w:p>
    <w:bookmarkEnd w:id="39"/>
    <w:bookmarkStart w:id="40" w:name="Xe040a3ee9170c3970aba188ecc23934f91c03aa"/>
    <w:p>
      <w:pPr>
        <w:pStyle w:val="Bibliography"/>
      </w:pPr>
      <w:r>
        <w:t xml:space="preserve">White, Gary C, and Kenneth P Burnham. 1999.</w:t>
      </w:r>
      <w:r>
        <w:t xml:space="preserve"> </w:t>
      </w:r>
      <w:r>
        <w:t xml:space="preserve">“Program</w:t>
      </w:r>
      <w:r>
        <w:t xml:space="preserve"> </w:t>
      </w:r>
      <w:r>
        <w:t xml:space="preserve">MARK</w:t>
      </w:r>
      <w:r>
        <w:t xml:space="preserve">: Survival Estimation from Populations of Marked Animals.”</w:t>
      </w:r>
      <w:r>
        <w:t xml:space="preserve"> </w:t>
      </w:r>
      <w:r>
        <w:rPr>
          <w:i/>
          <w:iCs/>
        </w:rPr>
        <w:t xml:space="preserve">Bird Study</w:t>
      </w:r>
      <w:r>
        <w:t xml:space="preserve"> </w:t>
      </w:r>
      <w:r>
        <w:t xml:space="preserve">46 (S1): S120–39.</w:t>
      </w:r>
    </w:p>
    <w:bookmarkEnd w:id="40"/>
    <w:bookmarkEnd w:id="41"/>
    <w:bookmarkEnd w:id="42"/>
    <w:sectPr w:rsidR="00532B75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efaultTableStyle w:val="QuartoStyl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8D2"/>
    <w:rsid w:val="003E3AA1"/>
    <w:rsid w:val="005210FC"/>
    <w:rsid w:val="00532B75"/>
    <w:rsid w:val="00571F4E"/>
    <w:rsid w:val="00A648D2"/>
    <w:rsid w:val="00BE5BC1"/>
    <w:rsid w:val="00C71F29"/>
    <w:rsid w:val="00F4449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648D2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A648D2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A648D2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648D2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648D2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A648D2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648D2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A648D2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A648D2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648D2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648D2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648D2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648D2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648D2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648D2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648D2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648D2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648D2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648D2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648D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648D2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648D2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648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648D2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648D2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648D2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648D2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648D2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648D2"/>
    <w:rPr>
      <w:b/>
      <w:bCs/>
      <w:smallCaps/>
      <w:color w:themeColor="accent1" w:themeShade="BF" w:val="0F4761"/>
      <w:spacing w:val="5"/>
    </w:rPr>
  </w:style>
  <w:style w:styleId="TableGrid" w:type="table">
    <w:name w:val="Table Grid"/>
    <w:basedOn w:val="TableNormal"/>
    <w:uiPriority w:val="39"/>
    <w:rsid w:val="005210F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-Accent1" w:type="table">
    <w:name w:val="Grid Table 4 Accent 1"/>
    <w:basedOn w:val="TableNormal"/>
    <w:uiPriority w:val="49"/>
    <w:rsid w:val="005210FC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99" w:val="single"/>
        <w:left w:color="45B0E1" w:space="0" w:sz="4" w:themeColor="accent1" w:themeTint="99" w:val="single"/>
        <w:bottom w:color="45B0E1" w:space="0" w:sz="4" w:themeColor="accent1" w:themeTint="99" w:val="single"/>
        <w:right w:color="45B0E1" w:space="0" w:sz="4" w:themeColor="accent1" w:themeTint="99" w:val="single"/>
        <w:insideH w:color="45B0E1" w:space="0" w:sz="4" w:themeColor="accent1" w:themeTint="99" w:val="single"/>
        <w:insideV w:color="45B0E1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156082" w:space="0" w:sz="4" w:themeColor="accent1" w:val="single"/>
          <w:left w:color="156082" w:space="0" w:sz="4" w:themeColor="accent1" w:val="single"/>
          <w:bottom w:color="156082" w:space="0" w:sz="4" w:themeColor="accent1" w:val="single"/>
          <w:right w:color="156082" w:space="0" w:sz="4" w:themeColor="accent1" w:val="single"/>
          <w:insideH w:val="nil"/>
          <w:insideV w:val="nil"/>
        </w:tcBorders>
        <w:shd w:color="auto" w:fill="156082" w:themeFill="accent1" w:val="clear"/>
      </w:tcPr>
    </w:tblStylePr>
    <w:tblStylePr w:type="lastRow">
      <w:rPr>
        <w:b/>
        <w:bCs/>
      </w:rPr>
      <w:tblPr/>
      <w:tcPr>
        <w:tcBorders>
          <w:top w:color="156082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1E4F5" w:themeFill="accent1" w:themeFillTint="33" w:val="clear"/>
      </w:tcPr>
    </w:tblStylePr>
    <w:tblStylePr w:type="band1Horz">
      <w:tblPr/>
      <w:tcPr>
        <w:shd w:color="auto" w:fill="C1E4F5" w:themeFill="accent1" w:themeFillTint="33" w:val="clear"/>
      </w:tcPr>
    </w:tblStylePr>
  </w:style>
  <w:style w:styleId="GridTable4" w:type="table">
    <w:name w:val="Grid Table 4"/>
    <w:basedOn w:val="TableNormal"/>
    <w:uiPriority w:val="49"/>
    <w:rsid w:val="005210FC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QuartoStyle" w:type="table">
    <w:name w:val="Quarto Style"/>
    <w:basedOn w:val="TableNormal"/>
    <w:uiPriority w:val="99"/>
    <w:rsid w:val="003E3AA1"/>
    <w:pPr>
      <w:spacing w:after="0" w:line="240" w:lineRule="auto"/>
    </w:pPr>
    <w:tblPr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jpg" /><Relationship Type="http://schemas.openxmlformats.org/officeDocument/2006/relationships/image" Id="rId30" Target="media/rId3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Reston Mark-Recapture Methods</dc:title>
  <dc:creator/>
  <cp:keywords/>
  <dcterms:created xsi:type="dcterms:W3CDTF">2026-06-22T17:08:52Z</dcterms:created>
  <dcterms:modified xsi:type="dcterms:W3CDTF">2026-06-22T17:08:52Z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sections/references.bib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