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Reston Mark-Recapture Methods</w:t>
      </w:r>
    </w:p>
    <w:bookmarkStart w:id="23" w:name="methods"/>
    <w:p>
      <w:pPr>
        <w:pStyle w:val="Heading1"/>
      </w:pPr>
      <w:r>
        <w:t xml:space="preserve">1. Methods</w:t>
      </w:r>
    </w:p>
    <w:bookmarkStart w:id="20" w:name="mark-recapture-sampling"/>
    <w:p>
      <w:pPr>
        <w:pStyle w:val="Heading2"/>
      </w:pPr>
      <w:r>
        <w:t xml:space="preserve">1.1 Mark-recapture sampling</w:t>
      </w:r>
    </w:p>
    <w:p>
      <w:pPr>
        <w:pStyle w:val="FirstParagraph"/>
      </w:pPr>
      <w:r>
        <w:t xml:space="preserve">We released a total of 2802 adult</w:t>
      </w:r>
      <w:r>
        <w:t xml:space="preserve"> </w:t>
      </w:r>
      <w:r>
        <w:rPr>
          <w:i/>
          <w:iCs/>
        </w:rPr>
        <w:t xml:space="preserve">Elliptio complanata</w:t>
      </w:r>
      <w:r>
        <w:t xml:space="preserve"> </w:t>
      </w:r>
      <w:r>
        <w:t xml:space="preserve">at two second-order tributaries to the Potomac River.</w:t>
      </w:r>
      <w:r>
        <w:t xml:space="preserve"> </w:t>
      </w:r>
      <w:r>
        <w:t xml:space="preserve">On July 26, 2023, we released</w:t>
      </w:r>
      <w:r>
        <w:t xml:space="preserve"> </w:t>
      </w:r>
      <w:r>
        <w:rPr>
          <w:rStyle w:val="VerbatimChar"/>
        </w:rPr>
        <w:t xml:space="preserve">n_glade_release</w:t>
      </w:r>
      <w:r>
        <w:t xml:space="preserve"> </w:t>
      </w:r>
      <w:r>
        <w:t xml:space="preserve">in the Shenandoah River at the Bentonville site (38.84376, -78.33875).</w:t>
      </w:r>
      <w:r>
        <w:t xml:space="preserve"> </w:t>
      </w:r>
      <w:r>
        <w:t xml:space="preserve">Of these releases, 1,590 were uniquely tagged with Hallprint glue-on shellfish tags such that the individual mussel could be later identified.</w:t>
      </w:r>
      <w:r>
        <w:t xml:space="preserve"> </w:t>
      </w:r>
      <w:r>
        <w:t xml:space="preserve">Of these, 1,590 mussels, 49</w:t>
      </w:r>
      <w:r>
        <w:t xml:space="preserve"> </w:t>
      </w:r>
      <w:r>
        <w:rPr>
          <w:i/>
          <w:iCs/>
        </w:rPr>
        <w:t xml:space="preserve">Alasmidonta varicosa</w:t>
      </w:r>
      <w:r>
        <w:t xml:space="preserve"> </w:t>
      </w:r>
      <w:r>
        <w:t xml:space="preserve">released by Harrison Lake were also tagged with a PIT transponder.</w:t>
      </w:r>
      <w:r>
        <w:t xml:space="preserve"> </w:t>
      </w:r>
      <w:r>
        <w:t xml:space="preserve">In 2024, the site was sampled four times from June to October.</w:t>
      </w:r>
      <w:r>
        <w:t xml:space="preserve"> </w:t>
      </w:r>
      <w:r>
        <w:t xml:space="preserve">We sampled the entire area of the site twice by:</w:t>
      </w:r>
    </w:p>
    <w:p>
      <w:pPr>
        <w:pStyle w:val="Compact"/>
        <w:numPr>
          <w:ilvl w:val="0"/>
          <w:numId w:val="1001"/>
        </w:numPr>
      </w:pPr>
      <w:r>
        <w:t xml:space="preserve">snorkeling</w:t>
      </w:r>
    </w:p>
    <w:p>
      <w:pPr>
        <w:pStyle w:val="Compact"/>
        <w:numPr>
          <w:ilvl w:val="0"/>
          <w:numId w:val="1001"/>
        </w:numPr>
      </w:pPr>
      <w:r>
        <w:t xml:space="preserve">passing a PIT tag reader over the area</w:t>
      </w:r>
    </w:p>
    <w:p>
      <w:pPr>
        <w:pStyle w:val="FirstParagraph"/>
      </w:pPr>
      <w:r>
        <w:t xml:space="preserve">For each mussel encountered, we measured its overall length and recorded the unique tag number.</w:t>
      </w:r>
      <w:r>
        <w:t xml:space="preserve"> </w:t>
      </w:r>
      <w:r>
        <w:t xml:space="preserve">Untagged mussels were not tagged.</w:t>
      </w:r>
    </w:p>
    <w:bookmarkEnd w:id="20"/>
    <w:bookmarkStart w:id="21" w:name="popan-description"/>
    <w:p>
      <w:pPr>
        <w:pStyle w:val="Heading2"/>
      </w:pPr>
      <w:r>
        <w:t xml:space="preserve">1.2 POPAN description</w:t>
      </w:r>
    </w:p>
    <w:p>
      <w:pPr>
        <w:pStyle w:val="FirstParagraph"/>
      </w:pPr>
      <w:r>
        <w:t xml:space="preserve">We were interested primarily in estimating survival of the release cohort over time and the corresponding abundance on each sampling occasion.</w:t>
      </w:r>
      <w:r>
        <w:t xml:space="preserve"> </w:t>
      </w:r>
      <w:r>
        <w:t xml:space="preserve">Consequently, we used the POPAN mark-recapture framework (</w:t>
      </w:r>
      <w:r>
        <w:t xml:space="preserve">Schwarz and Arnason (1996)</w:t>
      </w:r>
      <w:r>
        <w:t xml:space="preserve">), a parameterization of the Jolly-Seber model, to analyze our mark-recapture data.</w:t>
      </w:r>
      <w:r>
        <w:t xml:space="preserve"> </w:t>
      </w:r>
      <w:r>
        <w:t xml:space="preserve">The POPAN model is an open population model that allows for the estimation of both apparent survival and population size.</w:t>
      </w:r>
      <w:r>
        <w:t xml:space="preserve"> </w:t>
      </w:r>
      <w:r>
        <w:t xml:space="preserve">It has four model parameters that are directly estimated:</w:t>
      </w:r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t xml:space="preserve">: Super population of all individuals that will ever be born into 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: probability that a member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will enter the population (i.e., become available for capture) from occasion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2"/>
        </w:numPr>
      </w:pP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: probability of an individual surviving and remaining in population from occasion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(i.e., apparent survival)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: probability of capture at occasion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(i.e., detectability).</w:t>
      </w:r>
    </w:p>
    <w:p>
      <w:pPr>
        <w:pStyle w:val="FirstParagraph"/>
      </w:pPr>
      <w:r>
        <w:t xml:space="preserve">During field sampling, we only recorded already tagged individuals without tagging new mussels.</w:t>
      </w:r>
      <w:r>
        <w:t xml:space="preserve"> </w:t>
      </w:r>
      <w:r>
        <w:t xml:space="preserve">Consequently, we assumed that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was 0 for the interval between all sampling occasions because no new animals can enter the initial cohort (i.e.,</w:t>
      </w:r>
      <w:r>
        <w:t xml:space="preserve"> </w:t>
      </w:r>
      <m:oMath>
        <m:r>
          <m:t>N</m:t>
        </m:r>
      </m:oMath>
      <w:r>
        <w:t xml:space="preserve">).</w:t>
      </w:r>
      <w:r>
        <w:t xml:space="preserve"> </w:t>
      </w:r>
      <w:r>
        <w:t xml:space="preserve">These four estimates can be used to derive abundance estimates for each occasion after the first occasion: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ϕ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N</m:t>
          </m:r>
          <m:sSub>
            <m:e>
              <m:r>
                <m:t>b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Abundance estimates for the first occasion are derived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probability that a member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will enter the population immediately prior to the first sampling occasion.</w:t>
      </w:r>
      <w:r>
        <w:t xml:space="preserve"> </w:t>
      </w:r>
      <w:r>
        <w:t xml:space="preserve">Because we assume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0 for sampling intervals,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equal to one, and the abundance estimate for the first occasion is the same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(i.e., the initial release cohort).</w:t>
      </w:r>
    </w:p>
    <w:bookmarkEnd w:id="21"/>
    <w:bookmarkStart w:id="22" w:name="data-analysis"/>
    <w:p>
      <w:pPr>
        <w:pStyle w:val="Heading2"/>
      </w:pPr>
      <w:r>
        <w:t xml:space="preserve">1.3 Data Analysis</w:t>
      </w:r>
    </w:p>
    <w:p>
      <w:pPr>
        <w:pStyle w:val="FirstParagraph"/>
      </w:pPr>
      <w:r>
        <w:t xml:space="preserve">Data for uniquely tagged individuals released in 2023 were combined with data from the four sampling occasions in 2024.</w:t>
      </w:r>
      <w:r>
        <w:t xml:space="preserve"> </w:t>
      </w:r>
      <w:r>
        <w:t xml:space="preserve">A set of candidate models were developed under the POPAN framework for estimating abundance and apparent survival of the 2023 release cohort.</w:t>
      </w:r>
      <w:r>
        <w:t xml:space="preserve"> </w:t>
      </w:r>
      <w:r>
        <w:t xml:space="preserve">Each candidate model represents a set of hypotheses regarding the four model parameters of the POPAN model (e.g., survival varies over time or is constant).</w:t>
      </w:r>
      <w:r>
        <w:t xml:space="preserve"> </w:t>
      </w:r>
      <w:r>
        <w:t xml:space="preserve">For all models, the probability of entry into the super population between sampling occasions was fixed to 0.</w:t>
      </w:r>
      <w:r>
        <w:t xml:space="preserve"> </w:t>
      </w:r>
      <w:r>
        <w:t xml:space="preserve">We constructed candidate models where:</w:t>
      </w:r>
    </w:p>
    <w:p>
      <w:pPr>
        <w:pStyle w:val="Compact"/>
        <w:numPr>
          <w:ilvl w:val="0"/>
          <w:numId w:val="1003"/>
        </w:numPr>
      </w:pPr>
      <w:r>
        <w:t xml:space="preserve">super population was either constant or varied between facilities,</w:t>
      </w:r>
    </w:p>
    <w:p>
      <w:pPr>
        <w:pStyle w:val="Compact"/>
        <w:numPr>
          <w:ilvl w:val="0"/>
          <w:numId w:val="1003"/>
        </w:numPr>
      </w:pPr>
      <w:r>
        <w:t xml:space="preserve">apparent survival was either constant, varied over time, varied by facility, or varied over time and by facility,</w:t>
      </w:r>
    </w:p>
    <w:p>
      <w:pPr>
        <w:pStyle w:val="Compact"/>
        <w:numPr>
          <w:ilvl w:val="0"/>
          <w:numId w:val="1003"/>
        </w:numPr>
      </w:pPr>
      <w:r>
        <w:t xml:space="preserve">capture probability was either constant, varied over time, or varied by facility.</w:t>
      </w:r>
    </w:p>
    <w:p>
      <w:pPr>
        <w:pStyle w:val="FirstParagraph"/>
      </w:pPr>
      <w:r>
        <w:t xml:space="preserve">This resulted in X total models in the candidate model set for each species.</w:t>
      </w:r>
      <w:r>
        <w:t xml:space="preserve"> </w:t>
      </w:r>
      <w:r>
        <w:t xml:space="preserve">To avoid introducing species as a factor in our models, we analyzed each of the four species released in 2023 separately rather than as a combined data set.</w:t>
      </w:r>
    </w:p>
    <w:p>
      <w:pPr>
        <w:pStyle w:val="BodyText"/>
      </w:pPr>
      <w:r>
        <w:t xml:space="preserve">We analyzed our set of candidate models using Program MARK (</w:t>
      </w:r>
      <w:r>
        <w:t xml:space="preserve">White and Burnham (1999)</w:t>
      </w:r>
      <w:r>
        <w:t xml:space="preserve">) to determine which model had the highest likelihood using an information criteria approach that balances the goodness-of-fit with model complexity to rank the models (</w:t>
      </w:r>
      <w:r>
        <w:t xml:space="preserve">Burnham and Anderson (2002)</w:t>
      </w:r>
      <w:r>
        <w:t xml:space="preserve">).</w:t>
      </w:r>
      <w:r>
        <w:t xml:space="preserve"> </w:t>
      </w:r>
      <w:r>
        <w:t xml:space="preserve">We used RMARK (an R package that runs MARK) to build and analyze models.</w:t>
      </w:r>
      <w:r>
        <w:t xml:space="preserve"> </w:t>
      </w:r>
      <w:r>
        <w:t xml:space="preserve">The likelihood of each candidate model was calculated using Akaike’s Information Criterion (AIC) (</w:t>
      </w:r>
      <w:r>
        <w:t xml:space="preserve">Akaike (1973)</w:t>
      </w:r>
      <w:r>
        <w:t xml:space="preserve">) modified for small sample sizes (AICc) (</w:t>
      </w:r>
      <w:r>
        <w:t xml:space="preserve">Sugiura (1978)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𝐴</m:t>
          </m:r>
          <m:r>
            <m:t>𝐼</m:t>
          </m:r>
          <m:r>
            <m:t>𝐶</m:t>
          </m:r>
          <m:r>
            <m:t>𝑐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l</m:t>
          </m:r>
          <m:r>
            <m:t>o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𝐿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̂</m:t>
                      </m:r>
                    </m:e>
                  </m:acc>
                </m:e>
              </m:d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𝐾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𝐾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𝑛</m:t>
              </m:r>
              <m:r>
                <m:rPr>
                  <m:sty m:val="p"/>
                </m:rPr>
                <m:t>−</m:t>
              </m:r>
              <m:r>
                <m:t>𝐾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𝐿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  <m:r>
                  <m:rPr>
                    <m:sty m:val="p"/>
                  </m:rPr>
                  <m:t>̂</m:t>
                </m:r>
              </m:e>
            </m:acc>
          </m:e>
        </m:d>
      </m:oMath>
      <w:r>
        <w:t xml:space="preserve"> </w:t>
      </w:r>
      <w:r>
        <w:t xml:space="preserve">is the likelihood of the parameter estimates, given the data,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parameters,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  <w:r>
        <w:t xml:space="preserve"> </w:t>
      </w:r>
      <w:r>
        <w:t xml:space="preserve">Normally, the best model is the one with the lowest</w:t>
      </w:r>
      <w:r>
        <w:t xml:space="preserve"> </w:t>
      </w:r>
      <m:oMath>
        <m:r>
          <m:t>A</m:t>
        </m:r>
        <m:r>
          <m:t>I</m:t>
        </m:r>
        <m:r>
          <m:t>C</m:t>
        </m:r>
        <m:r>
          <m:t>c</m:t>
        </m:r>
      </m:oMath>
      <w:r>
        <w:t xml:space="preserve"> </w:t>
      </w:r>
      <w:r>
        <w:t xml:space="preserve">score and other models are considered competing if</w:t>
      </w:r>
      <w:r>
        <w:t xml:space="preserve"> </w:t>
      </w:r>
      <m:oMath>
        <m:r>
          <m:t>Δ</m:t>
        </m:r>
        <m:r>
          <m:t>A</m:t>
        </m:r>
        <m:r>
          <m:t>I</m:t>
        </m:r>
        <m:r>
          <m:t>C</m:t>
        </m:r>
      </m:oMath>
      <w:r>
        <w:t xml:space="preserve"> </w:t>
      </w:r>
      <w:r>
        <w:t xml:space="preserve">&lt;2.0 (</w:t>
      </w:r>
      <w:r>
        <w:t xml:space="preserve">Burnham and Anderson (2002)</w:t>
      </w:r>
      <w:r>
        <w:t xml:space="preserve">).</w:t>
      </w:r>
      <w:r>
        <w:t xml:space="preserve"> </w:t>
      </w:r>
      <w:r>
        <w:t xml:space="preserve">However, top models for both species had issues estimating survival, especially on the last occasion.</w:t>
      </w:r>
      <w:r>
        <w:t xml:space="preserve"> </w:t>
      </w:r>
      <w:r>
        <w:t xml:space="preserve">This is not uncommon in parameters that are modeled as fully time-dependent, especially when capture rates are relatively low.</w:t>
      </w:r>
      <w:r>
        <w:t xml:space="preserve"> </w:t>
      </w:r>
      <w:r>
        <w:t xml:space="preserve">For purposes of estimating survival and abundance, we decided to use the subset of the top model where time was removed as a factor for apparent survival (i.e, survival does not vary with time).</w:t>
      </w:r>
      <w:r>
        <w:t xml:space="preserve"> </w:t>
      </w:r>
      <w:r>
        <w:t xml:space="preserve">We based all estimates of survival and abundance on this model for each species.</w:t>
      </w:r>
    </w:p>
    <w:p>
      <w:pPr>
        <w:pStyle w:val="BodyText"/>
      </w:pPr>
      <w:r>
        <w:t xml:space="preserve">Finally, many of the mussels released by FMCC in 2023 were either untagged or tagged in a manner that did not allow for the specific mussel to be identified in the future (e.g., green squares with no unique identifier).</w:t>
      </w:r>
      <w:r>
        <w:t xml:space="preserve"> </w:t>
      </w:r>
      <w:r>
        <w:t xml:space="preserve">We assumed that the survival estimates for uniquely tagged mussels was the same for non-uniquely tagged and untagged mussels released by FMCC.</w:t>
      </w:r>
      <w:r>
        <w:t xml:space="preserve"> </w:t>
      </w:r>
      <w:r>
        <w:t xml:space="preserve">Thus, we applied the estimated survival rates to the entire release cohort for FMCC (unique, non-unique, and untagged) to estimate abundance for all mussels for each species.</w:t>
      </w:r>
    </w:p>
    <w:p>
      <w:r>
        <w:br w:type="page"/>
      </w:r>
    </w:p>
    <w:bookmarkEnd w:id="22"/>
    <w:bookmarkEnd w:id="23"/>
    <w:bookmarkStart w:id="31" w:name="references"/>
    <w:p>
      <w:pPr>
        <w:pStyle w:val="Heading1"/>
      </w:pPr>
      <w:r>
        <w:t xml:space="preserve">2. References</w:t>
      </w:r>
    </w:p>
    <w:bookmarkStart w:id="30" w:name="refs"/>
    <w:bookmarkStart w:id="24" w:name="X437bd82681b6244afc723f1058a320799156d9d"/>
    <w:p>
      <w:pPr>
        <w:pStyle w:val="Bibliography"/>
      </w:pPr>
      <w:r>
        <w:t xml:space="preserve">Akaike, Hirotugu. 1973.</w:t>
      </w:r>
      <w:r>
        <w:t xml:space="preserve"> </w:t>
      </w:r>
      <w:r>
        <w:t xml:space="preserve">“Information Theory as an Extension of the Maximum Likelihood Principle.”</w:t>
      </w:r>
      <w:r>
        <w:t xml:space="preserve"> In</w:t>
      </w:r>
      <w:r>
        <w:t xml:space="preserve"> </w:t>
      </w:r>
      <w:r>
        <w:rPr>
          <w:i/>
          <w:iCs/>
        </w:rPr>
        <w:t xml:space="preserve">Second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Symposium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Theory</w:t>
      </w:r>
      <w:r>
        <w:t xml:space="preserve">, edited by B N Petrov and F Cazakil, 267–81. Budapest, Hungary: Akademiai Kidao.</w:t>
      </w:r>
    </w:p>
    <w:bookmarkEnd w:id="24"/>
    <w:bookmarkStart w:id="25" w:name="X3d765049c0b9d139b2bf4c37083a4031b8ade27"/>
    <w:p>
      <w:pPr>
        <w:pStyle w:val="Bibliography"/>
      </w:pPr>
      <w:r>
        <w:t xml:space="preserve">Burnham, Kenneth P, and David R Anderson. 2002.</w:t>
      </w:r>
      <w:r>
        <w:t xml:space="preserve"> </w:t>
      </w:r>
      <w:r>
        <w:rPr>
          <w:i/>
          <w:iCs/>
        </w:rPr>
        <w:t xml:space="preserve">Model</w:t>
      </w:r>
      <w:r>
        <w:rPr>
          <w:i/>
          <w:iCs/>
        </w:rPr>
        <w:t xml:space="preserve"> </w:t>
      </w:r>
      <w:r>
        <w:rPr>
          <w:i/>
          <w:iCs/>
        </w:rPr>
        <w:t xml:space="preserve">Selection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Multimodel Inference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Information-Theoretic Approach</w:t>
      </w:r>
      <w:r>
        <w:t xml:space="preserve">. 2nd ed. New York: Springer-Verlag.</w:t>
      </w:r>
    </w:p>
    <w:bookmarkEnd w:id="25"/>
    <w:bookmarkStart w:id="27" w:name="X3254a0e48116d81b135d4cb78a384358a506e8f"/>
    <w:p>
      <w:pPr>
        <w:pStyle w:val="Bibliography"/>
      </w:pPr>
      <w:r>
        <w:t xml:space="preserve">Schwarz, Carl James, and A. Neil Arnason. 1996.</w:t>
      </w:r>
      <w:r>
        <w:t xml:space="preserve"> </w:t>
      </w:r>
      <w:r>
        <w:t xml:space="preserve">“A</w:t>
      </w:r>
      <w:r>
        <w:t xml:space="preserve"> </w:t>
      </w:r>
      <w:r>
        <w:t xml:space="preserve">General Methodology</w:t>
      </w:r>
      <w:r>
        <w:t xml:space="preserve"> </w:t>
      </w:r>
      <w:r>
        <w:t xml:space="preserve">for the</w:t>
      </w:r>
      <w:r>
        <w:t xml:space="preserve"> </w:t>
      </w:r>
      <w:r>
        <w:t xml:space="preserve">Analysis</w:t>
      </w:r>
      <w:r>
        <w:t xml:space="preserve"> </w:t>
      </w:r>
      <w:r>
        <w:t xml:space="preserve">of</w:t>
      </w:r>
      <w:r>
        <w:t xml:space="preserve"> </w:t>
      </w:r>
      <w:r>
        <w:t xml:space="preserve">Capture-Recapture Experiments</w:t>
      </w:r>
      <w:r>
        <w:t xml:space="preserve"> </w:t>
      </w:r>
      <w:r>
        <w:t xml:space="preserve">in</w:t>
      </w:r>
      <w:r>
        <w:t xml:space="preserve"> </w:t>
      </w:r>
      <w:r>
        <w:t xml:space="preserve">Open Populations</w:t>
      </w:r>
      <w:r>
        <w:t xml:space="preserve">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52 (3): 860–73.</w:t>
      </w:r>
      <w:r>
        <w:t xml:space="preserve"> </w:t>
      </w:r>
      <w:hyperlink r:id="rId26">
        <w:r>
          <w:rPr>
            <w:rStyle w:val="Hyperlink"/>
          </w:rPr>
          <w:t xml:space="preserve">https://doi.org/10.2307/2533048</w:t>
        </w:r>
      </w:hyperlink>
      <w:r>
        <w:t xml:space="preserve">.</w:t>
      </w:r>
    </w:p>
    <w:bookmarkEnd w:id="27"/>
    <w:bookmarkStart w:id="28" w:name="ref-sugiura_1978_FurtherAnalysisData"/>
    <w:p>
      <w:pPr>
        <w:pStyle w:val="Bibliography"/>
      </w:pPr>
      <w:r>
        <w:t xml:space="preserve">Sugiura, Nariaki. 1978.</w:t>
      </w:r>
      <w:r>
        <w:t xml:space="preserve"> </w:t>
      </w:r>
      <w:r>
        <w:t xml:space="preserve">“Further Analysis of the Data by</w:t>
      </w:r>
      <w:r>
        <w:t xml:space="preserve"> </w:t>
      </w:r>
      <w:r>
        <w:t xml:space="preserve">Akaike</w:t>
      </w:r>
      <w:r>
        <w:t xml:space="preserve">’s Information Criterion and the Finite Corrections: Further Analysis of the Data by</w:t>
      </w:r>
      <w:r>
        <w:t xml:space="preserve"> </w:t>
      </w:r>
      <w:r>
        <w:t xml:space="preserve">Akaike</w:t>
      </w:r>
      <w:r>
        <w:t xml:space="preserve">’s.”</w:t>
      </w:r>
      <w:r>
        <w:t xml:space="preserve"> </w:t>
      </w:r>
      <w:r>
        <w:rPr>
          <w:i/>
          <w:iCs/>
        </w:rPr>
        <w:t xml:space="preserve">Communications in Statistics-Theory and Methods</w:t>
      </w:r>
      <w:r>
        <w:t xml:space="preserve"> </w:t>
      </w:r>
      <w:r>
        <w:t xml:space="preserve">7 (1): 13–26.</w:t>
      </w:r>
    </w:p>
    <w:bookmarkEnd w:id="28"/>
    <w:bookmarkStart w:id="29" w:name="Xe040a3ee9170c3970aba188ecc23934f91c03aa"/>
    <w:p>
      <w:pPr>
        <w:pStyle w:val="Bibliography"/>
      </w:pPr>
      <w:r>
        <w:t xml:space="preserve">White, Gary C, and Kenneth P Burnham. 1999.</w:t>
      </w:r>
      <w:r>
        <w:t xml:space="preserve"> </w:t>
      </w:r>
      <w:r>
        <w:t xml:space="preserve">“Program</w:t>
      </w:r>
      <w:r>
        <w:t xml:space="preserve"> </w:t>
      </w:r>
      <w:r>
        <w:t xml:space="preserve">MARK</w:t>
      </w:r>
      <w:r>
        <w:t xml:space="preserve">: Survival Estimation from Populations of Marked Animals.”</w:t>
      </w:r>
      <w:r>
        <w:t xml:space="preserve"> </w:t>
      </w:r>
      <w:r>
        <w:rPr>
          <w:i/>
          <w:iCs/>
        </w:rPr>
        <w:t xml:space="preserve">Bird Study</w:t>
      </w:r>
      <w:r>
        <w:t xml:space="preserve"> </w:t>
      </w:r>
      <w:r>
        <w:t xml:space="preserve">46 (S1): S120–39.</w:t>
      </w:r>
    </w:p>
    <w:bookmarkEnd w:id="29"/>
    <w:bookmarkEnd w:id="30"/>
    <w:bookmarkEnd w:id="31"/>
    <w:sectPr w:rsidR="00532B75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efaultTableStyle w:val="QuartoStyl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8D2"/>
    <w:rsid w:val="003E3AA1"/>
    <w:rsid w:val="005210FC"/>
    <w:rsid w:val="00532B75"/>
    <w:rsid w:val="00571F4E"/>
    <w:rsid w:val="00A648D2"/>
    <w:rsid w:val="00BE5BC1"/>
    <w:rsid w:val="00C71F29"/>
    <w:rsid w:val="00F4449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A648D2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A648D2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A648D2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648D2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648D2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A648D2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648D2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A648D2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A648D2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A648D2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648D2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648D2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648D2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648D2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648D2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648D2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648D2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648D2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648D2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648D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648D2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648D2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648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648D2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648D2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648D2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648D2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648D2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648D2"/>
    <w:rPr>
      <w:b/>
      <w:bCs/>
      <w:smallCaps/>
      <w:color w:themeColor="accent1" w:themeShade="BF" w:val="0F4761"/>
      <w:spacing w:val="5"/>
    </w:rPr>
  </w:style>
  <w:style w:styleId="TableGrid" w:type="table">
    <w:name w:val="Table Grid"/>
    <w:basedOn w:val="TableNormal"/>
    <w:uiPriority w:val="39"/>
    <w:rsid w:val="005210F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-Accent1" w:type="table">
    <w:name w:val="Grid Table 4 Accent 1"/>
    <w:basedOn w:val="TableNormal"/>
    <w:uiPriority w:val="49"/>
    <w:rsid w:val="005210FC"/>
    <w:pPr>
      <w:spacing w:after="0" w:line="240" w:lineRule="auto"/>
    </w:pPr>
    <w:tblPr>
      <w:tblStyleRowBandSize w:val="1"/>
      <w:tblStyleColBandSize w:val="1"/>
      <w:tblBorders>
        <w:top w:color="45B0E1" w:space="0" w:sz="4" w:themeColor="accent1" w:themeTint="99" w:val="single"/>
        <w:left w:color="45B0E1" w:space="0" w:sz="4" w:themeColor="accent1" w:themeTint="99" w:val="single"/>
        <w:bottom w:color="45B0E1" w:space="0" w:sz="4" w:themeColor="accent1" w:themeTint="99" w:val="single"/>
        <w:right w:color="45B0E1" w:space="0" w:sz="4" w:themeColor="accent1" w:themeTint="99" w:val="single"/>
        <w:insideH w:color="45B0E1" w:space="0" w:sz="4" w:themeColor="accent1" w:themeTint="99" w:val="single"/>
        <w:insideV w:color="45B0E1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156082" w:space="0" w:sz="4" w:themeColor="accent1" w:val="single"/>
          <w:left w:color="156082" w:space="0" w:sz="4" w:themeColor="accent1" w:val="single"/>
          <w:bottom w:color="156082" w:space="0" w:sz="4" w:themeColor="accent1" w:val="single"/>
          <w:right w:color="156082" w:space="0" w:sz="4" w:themeColor="accent1" w:val="single"/>
          <w:insideH w:val="nil"/>
          <w:insideV w:val="nil"/>
        </w:tcBorders>
        <w:shd w:color="auto" w:fill="156082" w:themeFill="accent1" w:val="clear"/>
      </w:tcPr>
    </w:tblStylePr>
    <w:tblStylePr w:type="lastRow">
      <w:rPr>
        <w:b/>
        <w:bCs/>
      </w:rPr>
      <w:tblPr/>
      <w:tcPr>
        <w:tcBorders>
          <w:top w:color="156082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1E4F5" w:themeFill="accent1" w:themeFillTint="33" w:val="clear"/>
      </w:tcPr>
    </w:tblStylePr>
    <w:tblStylePr w:type="band1Horz">
      <w:tblPr/>
      <w:tcPr>
        <w:shd w:color="auto" w:fill="C1E4F5" w:themeFill="accent1" w:themeFillTint="33" w:val="clear"/>
      </w:tcPr>
    </w:tblStylePr>
  </w:style>
  <w:style w:styleId="GridTable4" w:type="table">
    <w:name w:val="Grid Table 4"/>
    <w:basedOn w:val="TableNormal"/>
    <w:uiPriority w:val="49"/>
    <w:rsid w:val="005210FC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QuartoStyle" w:type="table">
    <w:name w:val="Quarto Style"/>
    <w:basedOn w:val="TableNormal"/>
    <w:uiPriority w:val="99"/>
    <w:rsid w:val="003E3AA1"/>
    <w:pPr>
      <w:spacing w:after="0" w:line="240" w:lineRule="auto"/>
    </w:pPr>
    <w:tblPr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doi.org/10.2307/253304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2307/253304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Reston Mark-Recapture Methods</dc:title>
  <dc:creator/>
  <cp:keywords/>
  <dcterms:created xsi:type="dcterms:W3CDTF">2026-06-21T17:41:28Z</dcterms:created>
  <dcterms:modified xsi:type="dcterms:W3CDTF">2026-06-21T17:41:28Z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sections/references.bib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