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Узор-Ежикеме</w:t>
      </w:r>
      <w:r>
        <w:t xml:space="preserve"> </w:t>
      </w:r>
      <w:r>
        <w:t xml:space="preserve">Чинечелум</w:t>
      </w:r>
      <w:r>
        <w:t xml:space="preserve"> </w:t>
      </w:r>
      <w:r>
        <w:t xml:space="preserve">Альфред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10900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210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43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0.06;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S(start=10647);</w:t>
      </w:r>
      <w:r>
        <w:br/>
      </w:r>
      <w:r>
        <w:rPr>
          <w:rStyle w:val="VerbatimChar"/>
        </w:rPr>
        <w:t xml:space="preserve">Real I(start=210);</w:t>
      </w:r>
      <w:r>
        <w:br/>
      </w:r>
      <w:r>
        <w:rPr>
          <w:rStyle w:val="VerbatimChar"/>
        </w:rPr>
        <w:t xml:space="preserve">Real R(start=43);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0.06;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S(start=10647);</w:t>
      </w:r>
      <w:r>
        <w:br/>
      </w:r>
      <w:r>
        <w:rPr>
          <w:rStyle w:val="VerbatimChar"/>
        </w:rPr>
        <w:t xml:space="preserve">Real I(start=210);</w:t>
      </w:r>
      <w:r>
        <w:br/>
      </w:r>
      <w:r>
        <w:rPr>
          <w:rStyle w:val="VerbatimChar"/>
        </w:rPr>
        <w:t xml:space="preserve">Real R(start=43);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4" w:name="fig:001"/>
      <w:r>
        <w:drawing>
          <wp:inline>
            <wp:extent cx="5334000" cy="2987665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987665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0.06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10900</w:t>
      </w:r>
      <w:r>
        <w:br/>
      </w:r>
      <w:r>
        <w:rPr>
          <w:rStyle w:val="VerbatimChar"/>
        </w:rPr>
        <w:t xml:space="preserve">I = 210</w:t>
      </w:r>
      <w:r>
        <w:br/>
      </w:r>
      <w:r>
        <w:rPr>
          <w:rStyle w:val="VerbatimChar"/>
        </w:rPr>
        <w:t xml:space="preserve">R = 43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100,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 - 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Зараза, гостья наша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Узор-Ежикеме Чинечелум Альфред</dc:creator>
  <dc:language>ru-RU</dc:language>
  <cp:keywords/>
  <dcterms:created xsi:type="dcterms:W3CDTF">2024-03-12T07:39:56Z</dcterms:created>
  <dcterms:modified xsi:type="dcterms:W3CDTF">2024-03-12T07:39:56Z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