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sz w:val="24"/>
        </w:rPr>
        <w:t>Prior studies disagree about the effect (Garcia, 2018), so the question stays open.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sz w:val="24"/>
        </w:rPr>
        <w:t>The policy changed earlier (Smith, 2024) and is still in effect.</w:t>
      </w:r>
    </w:p>
    <w:p>
      <w:pPr>
        <w:spacing w:line="240" w:lineRule="auto" w:before="0" w:after="0"/>
        <w:ind w:firstLine="720"/>
        <w:jc w:val="left"/>
      </w:pPr>
      <w:r>
        <w:rPr>
          <w:rFonts w:ascii="Times New Roman" w:hAnsi="Times New Roman"/>
          <w:sz w:val="24"/>
        </w:rPr>
        <w:t>This paragraph uses single line spacing on purpose so the audit has a line spacing finding.</w:t>
      </w:r>
    </w:p>
    <w:p>
      <w:pPr>
        <w:spacing w:line="240" w:lineRule="auto"/>
        <w:jc w:val="center"/>
      </w:pPr>
      <w:r>
        <w:rPr>
          <w:rFonts w:ascii="Times New Roman" w:hAnsi="Times New Roman"/>
          <w:sz w:val="24"/>
        </w:rPr>
        <w:t>References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>Nguyen, T. (2016). An unrelated work from a different author. Example Press.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>Smith, A. (2020). First work on the policy. Example Press.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>Smith, B. (2019). Second work on the policy. Example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