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both"/>
      </w:pPr>
      <w:r>
        <w:rPr>
          <w:rFonts w:ascii="Times New Roman" w:hAnsi="Times New Roman"/>
          <w:sz w:val="24"/>
        </w:rPr>
        <w:t>The policy changed earlier (Smith, 2024) and is still in effect.</w:t>
      </w:r>
    </w:p>
    <w:p>
      <w:r>
        <w:rPr>
          <w:rFonts w:ascii="Times New Roman" w:hAnsi="Times New Roman"/>
          <w:sz w:val="32"/>
        </w:rPr>
        <w:t>References</w:t>
      </w:r>
    </w:p>
    <w:p>
      <w:pPr>
        <w:spacing w:line="480" w:lineRule="auto" w:before="0" w:after="120"/>
        <w:jc w:val="both"/>
      </w:pPr>
      <w:r>
        <w:rPr>
          <w:rFonts w:ascii="Times New Roman" w:hAnsi="Times New Roman"/>
          <w:sz w:val="24"/>
        </w:rPr>
        <w:t>Smith, A. (2020). First work on the policy. Example Press.</w:t>
      </w:r>
    </w:p>
    <w:p>
      <w:pPr>
        <w:spacing w:line="480" w:lineRule="auto" w:before="0" w:after="120"/>
        <w:jc w:val="both"/>
      </w:pPr>
      <w:r>
        <w:rPr>
          <w:rFonts w:ascii="Times New Roman" w:hAnsi="Times New Roman"/>
          <w:sz w:val="24"/>
        </w:rPr>
        <w:t>Smith, B. (2019). Second work on the policy. Example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