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sz w:val="28"/>
        </w:rPr>
        <w:t>Introduction</w:t>
      </w:r>
    </w:p>
    <w:p>
      <w:pPr>
        <w:spacing w:line="360" w:lineRule="auto"/>
        <w:jc w:val="both"/>
      </w:pPr>
      <w:r>
        <w:rPr>
          <w:rFonts w:ascii="Times New Roman" w:hAnsi="Times New Roman"/>
          <w:sz w:val="24"/>
        </w:rPr>
        <w:t>Academic writing requires rigorous adherence to formatting standards. This paragraph follows the prescribed Times New Roman 12pt body text with 1.5 line spacing and justified alignment, matching the default SUC thesis spec. It serves as the control case in the demo document.</w:t>
      </w:r>
    </w:p>
    <w:p>
      <w:pPr>
        <w:pStyle w:val="Heading1"/>
      </w:pPr>
      <w:r>
        <w:rPr>
          <w:rFonts w:ascii="Times New Roman" w:hAnsi="Times New Roman"/>
          <w:sz w:val="32"/>
        </w:rPr>
        <w:t>Literature Review</w:t>
      </w:r>
    </w:p>
    <w:p>
      <w:pPr>
        <w:spacing w:line="360" w:lineRule="auto"/>
        <w:jc w:val="both"/>
      </w:pPr>
      <w:r>
        <w:rPr>
          <w:rFonts w:ascii="Calibri" w:hAnsi="Calibri"/>
          <w:sz w:val="24"/>
        </w:rPr>
        <w:t>This paragraph uses Calibri instead of Times New Roman, which breaks the body-text consistency rule. The font consistency checker should flag this as a Minor violation.</w:t>
      </w:r>
    </w:p>
    <w:p>
      <w:pPr>
        <w:spacing w:line="360" w:lineRule="auto"/>
        <w:jc w:val="both"/>
      </w:pPr>
      <w:r>
        <w:rPr>
          <w:rFonts w:ascii="Times New Roman" w:hAnsi="Times New Roman"/>
          <w:sz w:val="28"/>
        </w:rPr>
        <w:t>This paragraph uses the correct font but the wrong size (14pt instead of 12pt). The font size alignment rule should catch this as a Minor violation.</w:t>
      </w:r>
    </w:p>
    <w:p>
      <w:pPr>
        <w:spacing w:line="240" w:lineRule="auto"/>
        <w:jc w:val="left"/>
      </w:pPr>
      <w:r>
        <w:rPr>
          <w:rFonts w:ascii="Times New Roman" w:hAnsi="Times New Roman"/>
          <w:sz w:val="24"/>
        </w:rPr>
        <w:t>This paragraph uses single line spacing and left alignment instead of 1.5 spacing and justified alignment. The paragraph typography rule should flag both issues as Minor violations.</w:t>
      </w:r>
    </w:p>
    <w:p>
      <w:pPr>
        <w:pStyle w:val="Heading4"/>
      </w:pPr>
      <w:r>
        <w:rPr>
          <w:rFonts w:ascii="Times New Roman" w:hAnsi="Times New Roman"/>
          <w:sz w:val="24"/>
        </w:rPr>
        <w:t>Deep Subsection</w:t>
      </w:r>
    </w:p>
    <w:p>
      <w:pPr>
        <w:spacing w:line="360" w:lineRule="auto"/>
        <w:jc w:val="both"/>
      </w:pPr>
      <w:r>
        <w:rPr>
          <w:rFonts w:ascii="Times New Roman" w:hAnsi="Times New Roman"/>
          <w:sz w:val="24"/>
        </w:rPr>
        <w:t>This subsection was placed under an H1, skipping H2 and H3. The heading hierarchy rule should catch this structural jump as a Major violation.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R1C1</w:t>
            </w:r>
          </w:p>
        </w:tc>
        <w:tc>
          <w:tcPr>
            <w:tcW w:type="dxa" w:w="3120"/>
          </w:tcPr>
          <w:p>
            <w:r>
              <w:t>R1C2</w:t>
            </w:r>
          </w:p>
        </w:tc>
        <w:tc>
          <w:tcPr>
            <w:tcW w:type="dxa" w:w="3120"/>
          </w:tcPr>
          <w:p>
            <w:r>
              <w:t>R1C3</w:t>
            </w:r>
          </w:p>
        </w:tc>
      </w:tr>
      <w:tr>
        <w:tc>
          <w:tcPr>
            <w:tcW w:type="dxa" w:w="3120"/>
          </w:tcPr>
          <w:p>
            <w:r>
              <w:t>R2C1</w:t>
            </w:r>
          </w:p>
        </w:tc>
        <w:tc>
          <w:tcPr>
            <w:tcW w:type="dxa" w:w="3120"/>
          </w:tcPr>
          <w:p>
            <w:r>
              <w:t>R2C2</w:t>
            </w:r>
          </w:p>
        </w:tc>
        <w:tc>
          <w:tcPr>
            <w:tcW w:type="dxa" w:w="3120"/>
          </w:tcPr>
          <w:p>
            <w:r>
              <w:t>R2C3</w:t>
            </w:r>
          </w:p>
        </w:tc>
      </w:tr>
      <w:tr>
        <w:tc>
          <w:tcPr>
            <w:tcW w:type="dxa" w:w="3120"/>
          </w:tcPr>
          <w:p>
            <w:r>
              <w:t>R3C1</w:t>
            </w:r>
          </w:p>
        </w:tc>
        <w:tc>
          <w:tcPr>
            <w:tcW w:type="dxa" w:w="3120"/>
          </w:tcPr>
          <w:p>
            <w:r>
              <w:t>R3C2</w:t>
            </w:r>
          </w:p>
        </w:tc>
        <w:tc>
          <w:tcPr>
            <w:tcW w:type="dxa" w:w="3120"/>
          </w:tcPr>
          <w:p>
            <w:r>
              <w:t>R3C3</w:t>
            </w:r>
          </w:p>
        </w:tc>
      </w:tr>
    </w:tbl>
    <w:p>
      <w:pPr>
        <w:spacing w:line="360" w:lineRule="auto"/>
        <w:jc w:val="both"/>
      </w:pPr>
      <w:r>
        <w:rPr>
          <w:rFonts w:ascii="Times New Roman" w:hAnsi="Times New Roman"/>
          <w:sz w:val="24"/>
        </w:rPr>
        <w:t>The table above has no caption. The media captions rule should flag this as a Minor violation since SUC theses require every table to carry a numbered caption (e.g. 'Jadual 1: ...' or 'Table 1: ...').</w:t>
      </w:r>
    </w:p>
    <w:p>
      <w:pPr>
        <w:spacing w:line="360" w:lineRule="auto"/>
        <w:jc w:val="both"/>
      </w:pPr>
      <w:r>
        <w:rPr>
          <w:rFonts w:ascii="Times New Roman" w:hAnsi="Times New Roman"/>
          <w:sz w:val="24"/>
        </w:rPr>
        <w:t>Prior work on formatting compliance is limited. Smith (2022) argued that manual checking is error-prone. (Jones &amp; Brown, 2019) found that automated tools reduce review time. This paragraph intentionally contains in-text citations that have no matching References entry, so the citation sensor flags them as Major CITATION_MISMATCH violations.</w:t>
      </w:r>
    </w:p>
    <w:p>
      <w:pPr>
        <w:jc w:val="center"/>
      </w:pPr>
      <w:r>
        <w:rPr>
          <w:rFonts w:ascii="Times New Roman" w:hAnsi="Times New Roman"/>
          <w:i/>
          <w:sz w:val="22"/>
        </w:rPr>
        <w:t>Jadual 2: Sample compliance metrics</w:t>
      </w:r>
    </w:p>
    <w:tbl>
      <w:tblPr>
        <w:tblStyle w:val="LightGrid-Accent1"/>
        <w:tblW w:type="auto" w:w="0"/>
        <w:tblLook w:firstColumn="1" w:firstRow="1" w:lastColumn="0" w:lastRow="0" w:noHBand="0" w:noVBand="1" w:val="04A0"/>
      </w:tblPr>
      <w:tblGrid>
        <w:gridCol w:w="4680"/>
        <w:gridCol w:w="4680"/>
      </w:tblGrid>
      <w:tr>
        <w:tc>
          <w:tcPr>
            <w:tcW w:type="dxa" w:w="4680"/>
          </w:tcPr>
          <w:p>
            <w:r>
              <w:t>R1C1</w:t>
            </w:r>
          </w:p>
        </w:tc>
        <w:tc>
          <w:tcPr>
            <w:tcW w:type="dxa" w:w="4680"/>
          </w:tcPr>
          <w:p>
            <w:r>
              <w:t>R1C2</w:t>
            </w:r>
          </w:p>
        </w:tc>
      </w:tr>
      <w:tr>
        <w:tc>
          <w:tcPr>
            <w:tcW w:type="dxa" w:w="4680"/>
          </w:tcPr>
          <w:p>
            <w:r>
              <w:t>R2C1</w:t>
            </w:r>
          </w:p>
        </w:tc>
        <w:tc>
          <w:tcPr>
            <w:tcW w:type="dxa" w:w="4680"/>
          </w:tcPr>
          <w:p>
            <w:r>
              <w:t>R2C2</w:t>
            </w:r>
          </w:p>
        </w:tc>
      </w:tr>
    </w:tbl>
    <w:p>
      <w:r>
        <w:t>References</w:t>
      </w:r>
    </w:p>
    <w:p>
      <w:r>
        <w:t>Brown, A. (2020). Sample reference for demo purposes.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