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F9A85">
      <w:pPr>
        <w:jc w:val="center"/>
        <w:rPr>
          <w:rFonts w:ascii="黑体" w:hAnsi="黑体" w:eastAsia="黑体"/>
          <w:color w:val="06071F"/>
          <w:sz w:val="44"/>
          <w:szCs w:val="44"/>
          <w:shd w:val="clear" w:color="auto" w:fill="FDFDFE"/>
        </w:rPr>
      </w:pPr>
      <w:r>
        <w:rPr>
          <w:rFonts w:ascii="黑体" w:hAnsi="黑体" w:eastAsia="黑体"/>
          <w:color w:val="06071F"/>
          <w:sz w:val="44"/>
          <w:szCs w:val="44"/>
          <w:shd w:val="clear" w:color="auto" w:fill="FDFDFE"/>
        </w:rPr>
        <w:t>聚力暖心服务 共绘客户盈利新蓝图</w:t>
      </w:r>
    </w:p>
    <w:p w14:paraId="225A6FE4">
      <w:pPr>
        <w:jc w:val="center"/>
        <w:rPr>
          <w:rFonts w:ascii="黑体" w:hAnsi="黑体" w:eastAsia="黑体"/>
          <w:color w:val="06071F"/>
          <w:sz w:val="36"/>
          <w:szCs w:val="36"/>
          <w:shd w:val="clear" w:color="auto" w:fill="FDFDFE"/>
        </w:rPr>
      </w:pPr>
      <w:r>
        <w:rPr>
          <w:rFonts w:ascii="黑体" w:hAnsi="黑体" w:eastAsia="黑体"/>
          <w:color w:val="06071F"/>
          <w:sz w:val="36"/>
          <w:szCs w:val="36"/>
          <w:shd w:val="clear" w:color="auto" w:fill="FDFDFE"/>
        </w:rPr>
        <w:t>——杨浦公司"四维驱动"服务升级实践报告</w:t>
      </w:r>
    </w:p>
    <w:p w14:paraId="25A6E8C1">
      <w:pPr>
        <w:rPr>
          <w:sz w:val="30"/>
          <w:szCs w:val="30"/>
        </w:rPr>
      </w:pPr>
    </w:p>
    <w:p w14:paraId="43B9AD34">
      <w:pPr>
        <w:ind w:firstLine="640" w:firstLineChars="200"/>
        <w:jc w:val="center"/>
        <w:rPr>
          <w:rFonts w:ascii="黑体" w:hAnsi="黑体" w:eastAsia="黑体" w:cs="黑体"/>
          <w:bCs/>
          <w:sz w:val="32"/>
          <w:szCs w:val="32"/>
        </w:rPr>
      </w:pPr>
      <w:r>
        <w:rPr>
          <w:rFonts w:hint="eastAsia" w:ascii="黑体" w:hAnsi="黑体" w:eastAsia="黑体" w:cs="黑体"/>
          <w:bCs/>
          <w:sz w:val="32"/>
          <w:szCs w:val="32"/>
        </w:rPr>
        <w:t>项目背景</w:t>
      </w:r>
    </w:p>
    <w:p w14:paraId="504F04B1">
      <w:pPr>
        <w:ind w:firstLine="560" w:firstLineChars="200"/>
        <w:jc w:val="left"/>
        <w:rPr>
          <w:bCs/>
          <w:sz w:val="28"/>
          <w:szCs w:val="28"/>
        </w:rPr>
      </w:pPr>
      <w:r>
        <w:rPr>
          <w:rFonts w:hint="eastAsia"/>
          <w:bCs/>
          <w:sz w:val="28"/>
          <w:szCs w:val="28"/>
        </w:rPr>
        <w:t>面对宏观经济下行压力及消费市场变化，零售客户经营困境日益凸显，提升客户盈利能力与满意度成为当前工作的核心目标。为此，我们从满意度调研反馈、市场经营数据及行业政策三个维度深入分析，为后续服务升级奠定基础。</w:t>
      </w:r>
    </w:p>
    <w:p w14:paraId="35860A84">
      <w:pPr>
        <w:pStyle w:val="4"/>
        <w:numPr>
          <w:ilvl w:val="0"/>
          <w:numId w:val="1"/>
        </w:numPr>
        <w:ind w:firstLineChars="0"/>
        <w:rPr>
          <w:b/>
          <w:sz w:val="28"/>
          <w:szCs w:val="28"/>
        </w:rPr>
      </w:pPr>
      <w:r>
        <w:rPr>
          <w:rFonts w:hint="eastAsia"/>
          <w:b/>
          <w:sz w:val="28"/>
          <w:szCs w:val="28"/>
        </w:rPr>
        <w:t>知民意，在客户满意中探冷暖</w:t>
      </w:r>
    </w:p>
    <w:p w14:paraId="624BFC6D">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2024年上海烟草集团外部满意度测评</w:t>
      </w:r>
      <w:r>
        <w:rPr>
          <w:rFonts w:hint="eastAsia" w:asciiTheme="minorEastAsia" w:hAnsiTheme="minorEastAsia" w:cstheme="minorEastAsia"/>
          <w:b/>
          <w:bCs/>
          <w:sz w:val="28"/>
          <w:szCs w:val="28"/>
        </w:rPr>
        <w:t>（见图1）</w:t>
      </w:r>
      <w:r>
        <w:rPr>
          <w:rFonts w:hint="eastAsia" w:asciiTheme="minorEastAsia" w:hAnsiTheme="minorEastAsia" w:cstheme="minorEastAsia"/>
          <w:sz w:val="28"/>
          <w:szCs w:val="28"/>
        </w:rPr>
        <w:t>中，杨浦公司商业营销满意度测评得分为93.62分，位列全市17家商业公司第十，其中“批发服务”指标排名第13位，细分指标中“卷烟经营盈利水平”得分同比下降幅度最大。数据表明，客户因盈利空间压缩导致经营信心不足，满意度亟待提升。</w:t>
      </w:r>
    </w:p>
    <w:p w14:paraId="37DFE4E1">
      <w:pP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5266690" cy="2891790"/>
            <wp:effectExtent l="0" t="0" r="3810" b="3810"/>
            <wp:docPr id="6" name="图片 6" descr="030c74fb40775f53b8a01f011e976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0c74fb40775f53b8a01f011e976f1b"/>
                    <pic:cNvPicPr>
                      <a:picLocks noChangeAspect="1"/>
                    </pic:cNvPicPr>
                  </pic:nvPicPr>
                  <pic:blipFill>
                    <a:blip r:embed="rId4"/>
                    <a:stretch>
                      <a:fillRect/>
                    </a:stretch>
                  </pic:blipFill>
                  <pic:spPr>
                    <a:xfrm>
                      <a:off x="0" y="0"/>
                      <a:ext cx="5266690" cy="2891790"/>
                    </a:xfrm>
                    <a:prstGeom prst="rect">
                      <a:avLst/>
                    </a:prstGeom>
                  </pic:spPr>
                </pic:pic>
              </a:graphicData>
            </a:graphic>
          </wp:inline>
        </w:drawing>
      </w:r>
    </w:p>
    <w:p w14:paraId="4C2A392E">
      <w:pPr>
        <w:jc w:val="center"/>
        <w:rPr>
          <w:rFonts w:asciiTheme="minorEastAsia" w:hAnsiTheme="minorEastAsia" w:cstheme="minorEastAsia"/>
          <w:sz w:val="28"/>
          <w:szCs w:val="28"/>
        </w:rPr>
      </w:pPr>
      <w:r>
        <w:rPr>
          <w:rFonts w:hint="eastAsia" w:asciiTheme="minorEastAsia" w:hAnsiTheme="minorEastAsia" w:cstheme="minorEastAsia"/>
          <w:sz w:val="28"/>
          <w:szCs w:val="28"/>
        </w:rPr>
        <w:t>图1：2024年上海烟草集团外部满意度测评表</w:t>
      </w:r>
    </w:p>
    <w:p w14:paraId="7D4C892B">
      <w:pPr>
        <w:pStyle w:val="4"/>
        <w:numPr>
          <w:ilvl w:val="0"/>
          <w:numId w:val="1"/>
        </w:numPr>
        <w:ind w:firstLineChars="0"/>
        <w:rPr>
          <w:b/>
          <w:sz w:val="28"/>
          <w:szCs w:val="28"/>
        </w:rPr>
      </w:pPr>
      <w:r>
        <w:rPr>
          <w:rFonts w:hint="eastAsia"/>
          <w:b/>
          <w:sz w:val="28"/>
          <w:szCs w:val="28"/>
        </w:rPr>
        <w:t>观市场，在经营数据中找痛点</w:t>
      </w:r>
    </w:p>
    <w:p w14:paraId="5A9B1DD9">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2025年1-6月，杨浦公司卷烟订足率达97.88%</w:t>
      </w:r>
      <w:r>
        <w:rPr>
          <w:rFonts w:hint="eastAsia" w:asciiTheme="minorEastAsia" w:hAnsiTheme="minorEastAsia" w:cstheme="minorEastAsia"/>
          <w:b/>
          <w:bCs/>
          <w:sz w:val="28"/>
          <w:szCs w:val="28"/>
        </w:rPr>
        <w:t>（详见附件1：《订足率和市场状态分析》）</w:t>
      </w:r>
      <w:r>
        <w:rPr>
          <w:rFonts w:hint="eastAsia" w:asciiTheme="minorEastAsia" w:hAnsiTheme="minorEastAsia" w:cstheme="minorEastAsia"/>
          <w:sz w:val="28"/>
          <w:szCs w:val="28"/>
        </w:rPr>
        <w:t>，高于全市平均水平，但零售客户库存压力持续增大，各档位户均库存同比均有增长，其中软硬中华、玉溪（软）、黄鹤楼（软蓝）等中高价位段卷烟存销比增幅尤为明显。受宏观经济影响，中高端卷烟滞销问题加剧了零售客户的经营负担。</w:t>
      </w:r>
    </w:p>
    <w:p w14:paraId="6C5F648D">
      <w:pPr>
        <w:pStyle w:val="4"/>
        <w:numPr>
          <w:ilvl w:val="0"/>
          <w:numId w:val="1"/>
        </w:numPr>
        <w:ind w:firstLineChars="0"/>
        <w:rPr>
          <w:b/>
          <w:sz w:val="28"/>
          <w:szCs w:val="28"/>
        </w:rPr>
      </w:pPr>
      <w:r>
        <w:rPr>
          <w:rFonts w:hint="eastAsia"/>
          <w:b/>
          <w:sz w:val="28"/>
          <w:szCs w:val="28"/>
        </w:rPr>
        <w:t>学政策，在行业导向中树信念</w:t>
      </w:r>
    </w:p>
    <w:p w14:paraId="1FD4473A">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在宏观经济下行压力下，行业连续开展“我与客户共成长”“让客户更满意，我们在行动”主题营销活动，核心目的在于通过强化客户关系管理与服务质量提升，本质上是从“以产品为中心”向“以客户为中心”转型的体现，旨在与客户形成利益共同体以共同抵御经济波动影响。</w:t>
      </w:r>
    </w:p>
    <w:p w14:paraId="02905AEC">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综上所述，我们要沉下心，深入一线市场，扎根零售终端，和零售客户同呼吸共命运，切实提升零售客户的盈利能力与满意度。</w:t>
      </w:r>
    </w:p>
    <w:p w14:paraId="280FB114">
      <w:pPr>
        <w:ind w:firstLine="560" w:firstLineChars="200"/>
        <w:rPr>
          <w:sz w:val="28"/>
          <w:szCs w:val="28"/>
        </w:rPr>
      </w:pPr>
    </w:p>
    <w:p w14:paraId="5888FE40">
      <w:pPr>
        <w:ind w:firstLine="640" w:firstLineChars="200"/>
        <w:jc w:val="center"/>
        <w:rPr>
          <w:rFonts w:ascii="黑体" w:hAnsi="黑体" w:eastAsia="黑体" w:cs="黑体"/>
          <w:bCs/>
          <w:sz w:val="32"/>
          <w:szCs w:val="32"/>
        </w:rPr>
      </w:pPr>
      <w:r>
        <w:rPr>
          <w:rFonts w:hint="eastAsia" w:ascii="黑体" w:hAnsi="黑体" w:eastAsia="黑体" w:cs="黑体"/>
          <w:bCs/>
          <w:sz w:val="32"/>
          <w:szCs w:val="32"/>
        </w:rPr>
        <w:t>问题分析</w:t>
      </w:r>
    </w:p>
    <w:p w14:paraId="16451361">
      <w:pPr>
        <w:ind w:firstLine="560" w:firstLineChars="200"/>
        <w:jc w:val="left"/>
        <w:rPr>
          <w:bCs/>
          <w:sz w:val="28"/>
          <w:szCs w:val="28"/>
        </w:rPr>
      </w:pPr>
      <w:r>
        <w:rPr>
          <w:rFonts w:hint="eastAsia"/>
          <w:bCs/>
          <w:sz w:val="28"/>
          <w:szCs w:val="28"/>
        </w:rPr>
        <w:t>为全面剖析零售客户经营困境，杨浦公司通过“定向调研+换位体验”双路径深入一线，精准定位问题根源，为后续服务升级提供依据。</w:t>
      </w:r>
    </w:p>
    <w:p w14:paraId="06479B33">
      <w:pPr>
        <w:pStyle w:val="4"/>
        <w:numPr>
          <w:ilvl w:val="0"/>
          <w:numId w:val="2"/>
        </w:numPr>
        <w:ind w:firstLineChars="0"/>
        <w:rPr>
          <w:b/>
          <w:sz w:val="28"/>
          <w:szCs w:val="28"/>
        </w:rPr>
      </w:pPr>
      <w:r>
        <w:rPr>
          <w:rFonts w:hint="eastAsia"/>
          <w:b/>
          <w:sz w:val="28"/>
          <w:szCs w:val="28"/>
        </w:rPr>
        <w:t>推进“定向”调研，锁定攻坚方向</w:t>
      </w:r>
    </w:p>
    <w:p w14:paraId="608A841C">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为深挖问题症结，杨浦公司聚焦客户盈利情况设计形成专项调研问卷</w:t>
      </w:r>
      <w:r>
        <w:rPr>
          <w:rFonts w:hint="eastAsia" w:asciiTheme="minorEastAsia" w:hAnsiTheme="minorEastAsia" w:cstheme="minorEastAsia"/>
          <w:b/>
          <w:bCs/>
          <w:sz w:val="28"/>
          <w:szCs w:val="28"/>
        </w:rPr>
        <w:t>（详见附件2：《零售客户盈利情况调研问卷》）</w:t>
      </w:r>
      <w:r>
        <w:rPr>
          <w:rFonts w:hint="eastAsia" w:asciiTheme="minorEastAsia" w:hAnsiTheme="minorEastAsia" w:cstheme="minorEastAsia"/>
          <w:sz w:val="28"/>
          <w:szCs w:val="28"/>
        </w:rPr>
        <w:t>，以区域内满意度较低的零售客户为重点，覆盖全业态、全档位及街道，选取200户代表性客户开展问卷调研</w:t>
      </w:r>
      <w:r>
        <w:rPr>
          <w:rFonts w:hint="eastAsia" w:asciiTheme="minorEastAsia" w:hAnsiTheme="minorEastAsia" w:cstheme="minorEastAsia"/>
          <w:b/>
          <w:bCs/>
          <w:sz w:val="28"/>
          <w:szCs w:val="28"/>
        </w:rPr>
        <w:t>（详见附件3：《零售客户盈利情况调研问卷汇总表》）</w:t>
      </w:r>
      <w:r>
        <w:rPr>
          <w:rFonts w:hint="eastAsia" w:asciiTheme="minorEastAsia" w:hAnsiTheme="minorEastAsia" w:cstheme="minorEastAsia"/>
          <w:sz w:val="28"/>
          <w:szCs w:val="28"/>
        </w:rPr>
        <w:t>，聚焦盈利状况、库存动销、经营成本等核心维度，结果显示存在以下四方面问题：</w:t>
      </w:r>
    </w:p>
    <w:p w14:paraId="6D08295A">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一是卷烟销售不畅。</w:t>
      </w:r>
      <w:r>
        <w:rPr>
          <w:rFonts w:hint="eastAsia" w:asciiTheme="minorEastAsia" w:hAnsiTheme="minorEastAsia" w:cstheme="minorEastAsia"/>
          <w:sz w:val="28"/>
          <w:szCs w:val="28"/>
        </w:rPr>
        <w:t>在200份问卷调研中，卷烟销量同比下降的客户有116户，占比58%。具体原因方面，“卷烟消费者数量减少”提及93次，“卷烟消费者购买量减少”提及91次，两项占比均超75%，表明市场需求端收缩是销量下滑的核心症结</w:t>
      </w:r>
      <w:r>
        <w:rPr>
          <w:rFonts w:hint="eastAsia" w:asciiTheme="minorEastAsia" w:hAnsiTheme="minorEastAsia" w:cstheme="minorEastAsia"/>
          <w:b/>
          <w:bCs/>
          <w:sz w:val="28"/>
          <w:szCs w:val="28"/>
        </w:rPr>
        <w:t>（见图2）</w:t>
      </w:r>
      <w:r>
        <w:rPr>
          <w:rFonts w:hint="eastAsia" w:asciiTheme="minorEastAsia" w:hAnsiTheme="minorEastAsia" w:cstheme="minorEastAsia"/>
          <w:sz w:val="28"/>
          <w:szCs w:val="28"/>
        </w:rPr>
        <w:t>。</w:t>
      </w:r>
    </w:p>
    <w:p w14:paraId="4757FCFF">
      <w:pPr>
        <w:ind w:firstLine="560" w:firstLineChars="200"/>
        <w:rPr>
          <w:rFonts w:asciiTheme="minorEastAsia" w:hAnsiTheme="minorEastAsia" w:cstheme="minorEastAsia"/>
          <w:sz w:val="28"/>
          <w:szCs w:val="28"/>
        </w:rPr>
      </w:pPr>
    </w:p>
    <w:p w14:paraId="6F4F1E05">
      <w:pPr>
        <w:ind w:firstLine="560" w:firstLineChars="200"/>
        <w:rPr>
          <w:rFonts w:asciiTheme="minorEastAsia" w:hAnsiTheme="minorEastAsia" w:cstheme="minorEastAsia"/>
          <w:sz w:val="28"/>
          <w:szCs w:val="28"/>
        </w:rPr>
      </w:pPr>
    </w:p>
    <w:p w14:paraId="7B3D82E9">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4643120" cy="2381250"/>
            <wp:effectExtent l="0" t="0" r="5080" b="6350"/>
            <wp:docPr id="2" name="图片 2" descr="4d42049003370e614ef8fab602069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d42049003370e614ef8fab602069be8"/>
                    <pic:cNvPicPr>
                      <a:picLocks noChangeAspect="1"/>
                    </pic:cNvPicPr>
                  </pic:nvPicPr>
                  <pic:blipFill>
                    <a:blip r:embed="rId5"/>
                    <a:stretch>
                      <a:fillRect/>
                    </a:stretch>
                  </pic:blipFill>
                  <pic:spPr>
                    <a:xfrm>
                      <a:off x="0" y="0"/>
                      <a:ext cx="4643120" cy="2381250"/>
                    </a:xfrm>
                    <a:prstGeom prst="rect">
                      <a:avLst/>
                    </a:prstGeom>
                  </pic:spPr>
                </pic:pic>
              </a:graphicData>
            </a:graphic>
          </wp:inline>
        </w:drawing>
      </w:r>
    </w:p>
    <w:p w14:paraId="5A09F332">
      <w:pPr>
        <w:ind w:firstLine="480" w:firstLineChars="200"/>
        <w:jc w:val="center"/>
        <w:rPr>
          <w:rFonts w:asciiTheme="minorEastAsia" w:hAnsiTheme="minorEastAsia" w:cstheme="minorEastAsia"/>
          <w:sz w:val="24"/>
          <w:szCs w:val="24"/>
        </w:rPr>
      </w:pPr>
      <w:r>
        <w:rPr>
          <w:rFonts w:hint="eastAsia" w:asciiTheme="minorEastAsia" w:hAnsiTheme="minorEastAsia" w:cstheme="minorEastAsia"/>
          <w:sz w:val="24"/>
          <w:szCs w:val="24"/>
        </w:rPr>
        <w:t>图2：卷烟销售同比情况</w:t>
      </w:r>
    </w:p>
    <w:p w14:paraId="248CE53E">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二是盈利状况堪忧。</w:t>
      </w:r>
      <w:r>
        <w:rPr>
          <w:rFonts w:hint="eastAsia" w:asciiTheme="minorEastAsia" w:hAnsiTheme="minorEastAsia" w:cstheme="minorEastAsia"/>
          <w:sz w:val="28"/>
          <w:szCs w:val="28"/>
        </w:rPr>
        <w:t>客户门店盈利能力同比下降的有132户，占比66%。具体原因方面，“消费者购买金额下降”提及115次，占比87.1%，“零售价格降低”提及71次，占比53.8%，“经营成本增加”提及64次，占比48.5%，多重因素叠加导致客户盈利能力显著承压</w:t>
      </w:r>
      <w:r>
        <w:rPr>
          <w:rFonts w:hint="eastAsia" w:asciiTheme="minorEastAsia" w:hAnsiTheme="minorEastAsia" w:cstheme="minorEastAsia"/>
          <w:b/>
          <w:bCs/>
          <w:sz w:val="28"/>
          <w:szCs w:val="28"/>
        </w:rPr>
        <w:t>（见图3）</w:t>
      </w:r>
      <w:r>
        <w:rPr>
          <w:rFonts w:hint="eastAsia" w:asciiTheme="minorEastAsia" w:hAnsiTheme="minorEastAsia" w:cstheme="minorEastAsia"/>
          <w:sz w:val="28"/>
          <w:szCs w:val="28"/>
        </w:rPr>
        <w:t>。</w:t>
      </w:r>
    </w:p>
    <w:p w14:paraId="12DE01AA">
      <w:pPr>
        <w:ind w:firstLine="560" w:firstLineChars="200"/>
        <w:jc w:val="cente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4215765" cy="2133600"/>
            <wp:effectExtent l="0" t="0" r="635" b="0"/>
            <wp:docPr id="3" name="图片 3" descr="b0053fa0487661befdba34695b3dd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0053fa0487661befdba34695b3ddcb8"/>
                    <pic:cNvPicPr>
                      <a:picLocks noChangeAspect="1"/>
                    </pic:cNvPicPr>
                  </pic:nvPicPr>
                  <pic:blipFill>
                    <a:blip r:embed="rId6"/>
                    <a:stretch>
                      <a:fillRect/>
                    </a:stretch>
                  </pic:blipFill>
                  <pic:spPr>
                    <a:xfrm>
                      <a:off x="0" y="0"/>
                      <a:ext cx="4215765" cy="2133600"/>
                    </a:xfrm>
                    <a:prstGeom prst="rect">
                      <a:avLst/>
                    </a:prstGeom>
                  </pic:spPr>
                </pic:pic>
              </a:graphicData>
            </a:graphic>
          </wp:inline>
        </w:drawing>
      </w:r>
    </w:p>
    <w:p w14:paraId="51F17C85">
      <w:pPr>
        <w:ind w:firstLine="480" w:firstLineChars="200"/>
        <w:jc w:val="center"/>
        <w:rPr>
          <w:rFonts w:asciiTheme="minorEastAsia" w:hAnsiTheme="minorEastAsia" w:cstheme="minorEastAsia"/>
          <w:sz w:val="28"/>
          <w:szCs w:val="28"/>
        </w:rPr>
      </w:pPr>
      <w:r>
        <w:rPr>
          <w:rFonts w:hint="eastAsia" w:asciiTheme="minorEastAsia" w:hAnsiTheme="minorEastAsia" w:cstheme="minorEastAsia"/>
          <w:sz w:val="24"/>
          <w:szCs w:val="24"/>
        </w:rPr>
        <w:t>图3：门店整体盈利情况</w:t>
      </w:r>
    </w:p>
    <w:p w14:paraId="28EB102E">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三是库存积压严重。</w:t>
      </w:r>
      <w:r>
        <w:rPr>
          <w:rFonts w:hint="eastAsia" w:asciiTheme="minorEastAsia" w:hAnsiTheme="minorEastAsia" w:cstheme="minorEastAsia"/>
          <w:sz w:val="28"/>
          <w:szCs w:val="28"/>
        </w:rPr>
        <w:t>卷烟库存积压客户共139户，占比70%。从卷烟结构看，其中“400-600元/条”价位段积压客户99户，占比71.2%，其次为“200-400元/条”90户，占比64.7%，“600-800元/条”63户，占比45.3%</w:t>
      </w:r>
      <w:r>
        <w:rPr>
          <w:rFonts w:hint="eastAsia" w:asciiTheme="minorEastAsia" w:hAnsiTheme="minorEastAsia" w:cstheme="minorEastAsia"/>
          <w:b/>
          <w:bCs/>
          <w:sz w:val="28"/>
          <w:szCs w:val="28"/>
        </w:rPr>
        <w:t>（见图4）</w:t>
      </w:r>
      <w:r>
        <w:rPr>
          <w:rFonts w:hint="eastAsia" w:asciiTheme="minorEastAsia" w:hAnsiTheme="minorEastAsia" w:cstheme="minorEastAsia"/>
          <w:sz w:val="28"/>
          <w:szCs w:val="28"/>
        </w:rPr>
        <w:t>。</w:t>
      </w:r>
    </w:p>
    <w:p w14:paraId="63DAE774">
      <w:pPr>
        <w:ind w:firstLine="560" w:firstLineChars="200"/>
        <w:jc w:val="cente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4262120" cy="2200910"/>
            <wp:effectExtent l="0" t="0" r="5080" b="8890"/>
            <wp:docPr id="4" name="图片 4" descr="8951bb3112aee7eff9772d71a0e53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951bb3112aee7eff9772d71a0e53fc7"/>
                    <pic:cNvPicPr>
                      <a:picLocks noChangeAspect="1"/>
                    </pic:cNvPicPr>
                  </pic:nvPicPr>
                  <pic:blipFill>
                    <a:blip r:embed="rId7"/>
                    <a:stretch>
                      <a:fillRect/>
                    </a:stretch>
                  </pic:blipFill>
                  <pic:spPr>
                    <a:xfrm>
                      <a:off x="0" y="0"/>
                      <a:ext cx="4262120" cy="2200910"/>
                    </a:xfrm>
                    <a:prstGeom prst="rect">
                      <a:avLst/>
                    </a:prstGeom>
                  </pic:spPr>
                </pic:pic>
              </a:graphicData>
            </a:graphic>
          </wp:inline>
        </w:drawing>
      </w:r>
    </w:p>
    <w:p w14:paraId="3901B34B">
      <w:pPr>
        <w:ind w:firstLine="480" w:firstLineChars="200"/>
        <w:jc w:val="center"/>
        <w:rPr>
          <w:rFonts w:asciiTheme="minorEastAsia" w:hAnsiTheme="minorEastAsia" w:cstheme="minorEastAsia"/>
          <w:sz w:val="24"/>
          <w:szCs w:val="24"/>
        </w:rPr>
      </w:pPr>
      <w:r>
        <w:rPr>
          <w:rFonts w:hint="eastAsia" w:asciiTheme="minorEastAsia" w:hAnsiTheme="minorEastAsia" w:cstheme="minorEastAsia"/>
          <w:sz w:val="24"/>
          <w:szCs w:val="24"/>
        </w:rPr>
        <w:t>图4：卷烟库存积压情况</w:t>
      </w:r>
    </w:p>
    <w:p w14:paraId="19109948">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四是经营压力大增。</w:t>
      </w:r>
      <w:r>
        <w:rPr>
          <w:rFonts w:hint="eastAsia" w:asciiTheme="minorEastAsia" w:hAnsiTheme="minorEastAsia" w:cstheme="minorEastAsia"/>
          <w:sz w:val="28"/>
          <w:szCs w:val="28"/>
        </w:rPr>
        <w:t>在问卷调研中，认为门店经营存在较大压力的客户有154户，占比77%。主要原因方面，“市场环境”提及135户，占比87.7%，“经营成本较高”提及100户，占比64.9%，“卷烟经营业务”提及87户，占比56.5%，多重压力源叠加导致客户经营负担显著加重</w:t>
      </w:r>
      <w:r>
        <w:rPr>
          <w:rFonts w:hint="eastAsia" w:asciiTheme="minorEastAsia" w:hAnsiTheme="minorEastAsia" w:cstheme="minorEastAsia"/>
          <w:b/>
          <w:bCs/>
          <w:sz w:val="28"/>
          <w:szCs w:val="28"/>
        </w:rPr>
        <w:t>（见图5）</w:t>
      </w:r>
      <w:r>
        <w:rPr>
          <w:rFonts w:hint="eastAsia" w:asciiTheme="minorEastAsia" w:hAnsiTheme="minorEastAsia" w:cstheme="minorEastAsia"/>
          <w:sz w:val="28"/>
          <w:szCs w:val="28"/>
        </w:rPr>
        <w:t>。</w:t>
      </w:r>
    </w:p>
    <w:p w14:paraId="2C6C7A21">
      <w:pPr>
        <w:ind w:firstLine="560" w:firstLineChars="200"/>
        <w:jc w:val="cente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4309745" cy="2223135"/>
            <wp:effectExtent l="0" t="0" r="8255" b="12065"/>
            <wp:docPr id="5" name="图片 5" descr="5ced261959183a9f796b0f02dc76a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ced261959183a9f796b0f02dc76a812"/>
                    <pic:cNvPicPr>
                      <a:picLocks noChangeAspect="1"/>
                    </pic:cNvPicPr>
                  </pic:nvPicPr>
                  <pic:blipFill>
                    <a:blip r:embed="rId8"/>
                    <a:stretch>
                      <a:fillRect/>
                    </a:stretch>
                  </pic:blipFill>
                  <pic:spPr>
                    <a:xfrm>
                      <a:off x="0" y="0"/>
                      <a:ext cx="4309745" cy="2223135"/>
                    </a:xfrm>
                    <a:prstGeom prst="rect">
                      <a:avLst/>
                    </a:prstGeom>
                  </pic:spPr>
                </pic:pic>
              </a:graphicData>
            </a:graphic>
          </wp:inline>
        </w:drawing>
      </w:r>
    </w:p>
    <w:p w14:paraId="20F4BCD6">
      <w:pPr>
        <w:ind w:firstLine="480" w:firstLineChars="200"/>
        <w:jc w:val="center"/>
        <w:rPr>
          <w:rFonts w:asciiTheme="minorEastAsia" w:hAnsiTheme="minorEastAsia" w:cstheme="minorEastAsia"/>
          <w:sz w:val="24"/>
          <w:szCs w:val="24"/>
        </w:rPr>
      </w:pPr>
      <w:r>
        <w:rPr>
          <w:rFonts w:hint="eastAsia" w:asciiTheme="minorEastAsia" w:hAnsiTheme="minorEastAsia" w:cstheme="minorEastAsia"/>
          <w:sz w:val="24"/>
          <w:szCs w:val="24"/>
        </w:rPr>
        <w:t>图5：门店经营压力情况</w:t>
      </w:r>
    </w:p>
    <w:p w14:paraId="29194175">
      <w:pPr>
        <w:ind w:firstLine="560" w:firstLineChars="200"/>
        <w:rPr>
          <w:sz w:val="28"/>
          <w:szCs w:val="28"/>
        </w:rPr>
      </w:pPr>
      <w:r>
        <w:rPr>
          <w:rFonts w:hint="eastAsia" w:asciiTheme="minorEastAsia" w:hAnsiTheme="minorEastAsia" w:cstheme="minorEastAsia"/>
          <w:sz w:val="28"/>
          <w:szCs w:val="28"/>
        </w:rPr>
        <w:t>调研显示，满意度较低的零售客户多数因盈利状况不佳、卷烟销量下滑、库存积压等问题面临较大经营压力，导致后续经营信心不足、满意度偏低。</w:t>
      </w:r>
      <w:r>
        <w:rPr>
          <w:rFonts w:hint="eastAsia" w:asciiTheme="minorEastAsia" w:hAnsiTheme="minorEastAsia" w:cstheme="minorEastAsia"/>
          <w:b/>
          <w:bCs/>
          <w:sz w:val="28"/>
          <w:szCs w:val="28"/>
        </w:rPr>
        <w:t>（详见附件4：《零售客户盈利情况调研分析报告》）</w:t>
      </w:r>
    </w:p>
    <w:p w14:paraId="58BB1A37">
      <w:pPr>
        <w:pStyle w:val="4"/>
        <w:numPr>
          <w:ilvl w:val="0"/>
          <w:numId w:val="2"/>
        </w:numPr>
        <w:ind w:firstLineChars="0"/>
        <w:rPr>
          <w:b/>
          <w:sz w:val="28"/>
          <w:szCs w:val="28"/>
        </w:rPr>
      </w:pPr>
      <w:r>
        <w:rPr>
          <w:rFonts w:hint="eastAsia"/>
          <w:b/>
          <w:sz w:val="28"/>
          <w:szCs w:val="28"/>
        </w:rPr>
        <w:t>开展“换位”行动，体悟急难愁盼</w:t>
      </w:r>
    </w:p>
    <w:p w14:paraId="01AC2FCE">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在问卷调研基础上，为进一步掌握市场真实情况，确保后续措施精准有效，客户经理以现场驻店形式深入零售终端</w:t>
      </w:r>
      <w:r>
        <w:rPr>
          <w:rFonts w:hint="eastAsia" w:asciiTheme="minorEastAsia" w:hAnsiTheme="minorEastAsia" w:cstheme="minorEastAsia"/>
          <w:b/>
          <w:bCs/>
          <w:sz w:val="28"/>
          <w:szCs w:val="28"/>
        </w:rPr>
        <w:t>（见图6）</w:t>
      </w:r>
      <w:r>
        <w:rPr>
          <w:rFonts w:hint="eastAsia" w:asciiTheme="minorEastAsia" w:hAnsiTheme="minorEastAsia" w:cstheme="minorEastAsia"/>
          <w:sz w:val="28"/>
          <w:szCs w:val="28"/>
        </w:rPr>
        <w:t>，通过“扮演一天店老板、体验一日经营者”的沉浸式实践，切实感知零售客户的经营难点与痛点。</w:t>
      </w:r>
    </w:p>
    <w:p w14:paraId="5D08102A">
      <w:pP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5257165" cy="2957195"/>
            <wp:effectExtent l="0" t="0" r="635" b="1905"/>
            <wp:docPr id="9" name="图片 9" descr="18546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854614493"/>
                    <pic:cNvPicPr>
                      <a:picLocks noChangeAspect="1"/>
                    </pic:cNvPicPr>
                  </pic:nvPicPr>
                  <pic:blipFill>
                    <a:blip r:embed="rId9"/>
                    <a:stretch>
                      <a:fillRect/>
                    </a:stretch>
                  </pic:blipFill>
                  <pic:spPr>
                    <a:xfrm>
                      <a:off x="0" y="0"/>
                      <a:ext cx="5257165" cy="2957195"/>
                    </a:xfrm>
                    <a:prstGeom prst="rect">
                      <a:avLst/>
                    </a:prstGeom>
                  </pic:spPr>
                </pic:pic>
              </a:graphicData>
            </a:graphic>
          </wp:inline>
        </w:drawing>
      </w:r>
    </w:p>
    <w:p w14:paraId="370166A5">
      <w:pPr>
        <w:ind w:firstLine="480" w:firstLineChars="200"/>
        <w:jc w:val="center"/>
        <w:rPr>
          <w:rFonts w:asciiTheme="minorEastAsia" w:hAnsiTheme="minorEastAsia" w:cstheme="minorEastAsia"/>
          <w:sz w:val="24"/>
          <w:szCs w:val="24"/>
        </w:rPr>
      </w:pPr>
      <w:r>
        <w:rPr>
          <w:rFonts w:hint="eastAsia" w:asciiTheme="minorEastAsia" w:hAnsiTheme="minorEastAsia" w:cstheme="minorEastAsia"/>
          <w:sz w:val="24"/>
          <w:szCs w:val="24"/>
        </w:rPr>
        <w:t>图6：客户经理现场驻店</w:t>
      </w:r>
    </w:p>
    <w:p w14:paraId="4D8ACDFE">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一是精选终端，卡准时间。</w:t>
      </w:r>
      <w:r>
        <w:rPr>
          <w:rFonts w:hint="eastAsia" w:asciiTheme="minorEastAsia" w:hAnsiTheme="minorEastAsia" w:cstheme="minorEastAsia"/>
          <w:sz w:val="28"/>
          <w:szCs w:val="28"/>
        </w:rPr>
        <w:t>驻店前，为确保覆盖不同终端类型与经营规模，客户经理根据所辖区域终端的业态、档位等特征，筛选出经营困惑突出、难点集中的典型客户作为驻点对象，并选取客户供货周期内经营高峰期——集中反映一周到货与销售情况的关键节点（到货日或到货次日）实施全天驻店，确保客户经理在驻店当日能直观掌握客户的实际经营状态与繁忙程度。</w:t>
      </w:r>
    </w:p>
    <w:p w14:paraId="70EF9E31">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二是细致观察，掌握症结。</w:t>
      </w:r>
      <w:r>
        <w:rPr>
          <w:rFonts w:hint="eastAsia" w:asciiTheme="minorEastAsia" w:hAnsiTheme="minorEastAsia" w:cstheme="minorEastAsia"/>
          <w:sz w:val="28"/>
          <w:szCs w:val="28"/>
        </w:rPr>
        <w:t>驻店期间，除提供业务支持外，客户经理需要重点观察卷烟到货后的销售动态、消费者行为变化及零售客户心态转变，具体包括：到货后库存整理、陈列调整等日常运营流程，实时经营状况，消费者购买时的议价行为及客户应对方式等。同时通过深度访谈，进一步挖掘客户的核心需求与经营痛点。</w:t>
      </w:r>
    </w:p>
    <w:p w14:paraId="134B1E3B">
      <w:pPr>
        <w:ind w:firstLine="562" w:firstLineChars="200"/>
        <w:jc w:val="left"/>
        <w:rPr>
          <w:rFonts w:asciiTheme="minorEastAsia" w:hAnsiTheme="minorEastAsia" w:cstheme="minorEastAsia"/>
          <w:sz w:val="28"/>
          <w:szCs w:val="28"/>
        </w:rPr>
      </w:pPr>
      <w:r>
        <w:rPr>
          <w:rFonts w:hint="eastAsia" w:asciiTheme="minorEastAsia" w:hAnsiTheme="minorEastAsia" w:cstheme="minorEastAsia"/>
          <w:b/>
          <w:bCs/>
          <w:sz w:val="28"/>
          <w:szCs w:val="28"/>
        </w:rPr>
        <w:t>三是分享体验，研讨对策。</w:t>
      </w:r>
      <w:r>
        <w:rPr>
          <w:rFonts w:hint="eastAsia" w:asciiTheme="minorEastAsia" w:hAnsiTheme="minorEastAsia" w:cstheme="minorEastAsia"/>
          <w:sz w:val="28"/>
          <w:szCs w:val="28"/>
        </w:rPr>
        <w:t>驻店后，客户经理围绕“换位思考、感同身受”主题召开专题研讨会</w:t>
      </w:r>
      <w:r>
        <w:rPr>
          <w:rFonts w:hint="eastAsia" w:asciiTheme="minorEastAsia" w:hAnsiTheme="minorEastAsia" w:cstheme="minorEastAsia"/>
          <w:b/>
          <w:bCs/>
          <w:sz w:val="28"/>
          <w:szCs w:val="28"/>
        </w:rPr>
        <w:t>（见图7）</w:t>
      </w:r>
      <w:r>
        <w:rPr>
          <w:rFonts w:hint="eastAsia" w:asciiTheme="minorEastAsia" w:hAnsiTheme="minorEastAsia" w:cstheme="minorEastAsia"/>
          <w:sz w:val="28"/>
          <w:szCs w:val="28"/>
        </w:rPr>
        <w:t>，结合驻店观察与深度访谈成果，系统梳理市场动态与客户痛点，重点聚焦四大核心需求导向：</w:t>
      </w:r>
    </w:p>
    <w:p w14:paraId="53AE3B1D">
      <w:pPr>
        <w:jc w:val="center"/>
        <w:rPr>
          <w:rFonts w:asciiTheme="minorEastAsia" w:hAnsiTheme="minorEastAsia" w:cstheme="minorEastAsia"/>
          <w:sz w:val="28"/>
          <w:szCs w:val="28"/>
        </w:rPr>
      </w:pPr>
      <w:r>
        <w:rPr>
          <w:rFonts w:hint="eastAsia" w:asciiTheme="minorEastAsia" w:hAnsiTheme="minorEastAsia" w:cstheme="minorEastAsia"/>
          <w:sz w:val="28"/>
          <w:szCs w:val="28"/>
        </w:rPr>
        <w:drawing>
          <wp:inline distT="0" distB="0" distL="114300" distR="114300">
            <wp:extent cx="4572000" cy="2700655"/>
            <wp:effectExtent l="0" t="0" r="0" b="4445"/>
            <wp:docPr id="10" name="图片 10" descr="2e2b72942597d143d958784b40047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e2b72942597d143d958784b40047ff0"/>
                    <pic:cNvPicPr>
                      <a:picLocks noChangeAspect="1"/>
                    </pic:cNvPicPr>
                  </pic:nvPicPr>
                  <pic:blipFill>
                    <a:blip r:embed="rId10"/>
                    <a:stretch>
                      <a:fillRect/>
                    </a:stretch>
                  </pic:blipFill>
                  <pic:spPr>
                    <a:xfrm>
                      <a:off x="0" y="0"/>
                      <a:ext cx="4572000" cy="2700655"/>
                    </a:xfrm>
                    <a:prstGeom prst="rect">
                      <a:avLst/>
                    </a:prstGeom>
                  </pic:spPr>
                </pic:pic>
              </a:graphicData>
            </a:graphic>
          </wp:inline>
        </w:drawing>
      </w:r>
    </w:p>
    <w:p w14:paraId="4D44AA64">
      <w:pPr>
        <w:jc w:val="center"/>
        <w:rPr>
          <w:rFonts w:asciiTheme="minorEastAsia" w:hAnsiTheme="minorEastAsia" w:cstheme="minorEastAsia"/>
          <w:sz w:val="24"/>
          <w:szCs w:val="24"/>
        </w:rPr>
      </w:pPr>
      <w:r>
        <w:rPr>
          <w:rFonts w:hint="eastAsia" w:asciiTheme="minorEastAsia" w:hAnsiTheme="minorEastAsia" w:cstheme="minorEastAsia"/>
          <w:sz w:val="24"/>
          <w:szCs w:val="24"/>
        </w:rPr>
        <w:t>图7：驻店营销后，召开营销人员专题研讨会</w:t>
      </w:r>
    </w:p>
    <w:p w14:paraId="20D13E97">
      <w:pPr>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一是拓客引流需求。针对零售客户“经营阵地受限、客源流失、宣传渠道匮乏”的困境（如建材行业老客户流失、价格战导致客源分流），提出“异业资源联动”思路，例如推动主营烟酒与非烟客户共享消费群体，破解单一业态经营瓶颈。</w:t>
      </w:r>
    </w:p>
    <w:p w14:paraId="0AA3168A">
      <w:pPr>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二是精准去库存需求。结合驻店发现的“库存两极分化”现象——部分烟酒商店库存积压严重（如400-600元/条价位段），而中小档位、特色经营客户卷烟货源不足，研讨“库存调剂、档位动态调整”等针对性方案，为后续跨终端资源优化奠定基础。</w:t>
      </w:r>
    </w:p>
    <w:p w14:paraId="4735C317">
      <w:pPr>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三是多元经营需求。针对客户“单一品类抗风险能力弱”的普遍焦虑（如烟酒双下滑、非烟业务拓展无方向），明确“多元经营指南”制定方向，计划通过案例分享、资源对接等方式引导客户开拓新业务增长点。</w:t>
      </w:r>
    </w:p>
    <w:p w14:paraId="057DF621">
      <w:pPr>
        <w:ind w:firstLine="560" w:firstLineChars="200"/>
        <w:jc w:val="left"/>
        <w:rPr>
          <w:rFonts w:asciiTheme="minorEastAsia" w:hAnsiTheme="minorEastAsia" w:cstheme="minorEastAsia"/>
          <w:sz w:val="28"/>
          <w:szCs w:val="28"/>
        </w:rPr>
      </w:pPr>
      <w:r>
        <w:rPr>
          <w:rFonts w:hint="eastAsia" w:asciiTheme="minorEastAsia" w:hAnsiTheme="minorEastAsia" w:cstheme="minorEastAsia"/>
          <w:sz w:val="28"/>
          <w:szCs w:val="28"/>
        </w:rPr>
        <w:t>四是服务减负需求。复盘驻店中发现“营销物料领取耗时、日常运营流程繁琐”等问题，优化形成“2-3人搭档+公司用车配送物料”“数字化库存管理工具推广”等实操建议，切实降低客户经营负担。</w:t>
      </w:r>
    </w:p>
    <w:p w14:paraId="1246DFD2">
      <w:pPr>
        <w:ind w:firstLine="560" w:firstLineChars="200"/>
        <w:jc w:val="left"/>
        <w:rPr>
          <w:rFonts w:asciiTheme="minorEastAsia" w:hAnsiTheme="minorEastAsia" w:cstheme="minorEastAsia"/>
          <w:sz w:val="28"/>
          <w:szCs w:val="28"/>
        </w:rPr>
      </w:pPr>
    </w:p>
    <w:p w14:paraId="1E875FD0">
      <w:pPr>
        <w:ind w:firstLine="640" w:firstLineChars="200"/>
        <w:jc w:val="center"/>
        <w:rPr>
          <w:rFonts w:ascii="黑体" w:hAnsi="黑体" w:eastAsia="黑体" w:cs="黑体"/>
          <w:bCs/>
          <w:sz w:val="32"/>
          <w:szCs w:val="32"/>
        </w:rPr>
      </w:pPr>
      <w:r>
        <w:rPr>
          <w:rFonts w:hint="eastAsia" w:ascii="黑体" w:hAnsi="黑体" w:eastAsia="黑体" w:cs="黑体"/>
          <w:bCs/>
          <w:sz w:val="32"/>
          <w:szCs w:val="32"/>
        </w:rPr>
        <w:t>工作目标</w:t>
      </w:r>
    </w:p>
    <w:p w14:paraId="00EF82DE">
      <w:pPr>
        <w:ind w:firstLine="560" w:firstLineChars="200"/>
        <w:rPr>
          <w:sz w:val="28"/>
          <w:szCs w:val="28"/>
        </w:rPr>
      </w:pPr>
      <w:r>
        <w:rPr>
          <w:rFonts w:hint="eastAsia"/>
          <w:sz w:val="28"/>
          <w:szCs w:val="28"/>
        </w:rPr>
        <w:t>聚焦四维驱动，引领四个转变，办好四项实事，全方位助力零售客户盈利提升：</w:t>
      </w:r>
    </w:p>
    <w:p w14:paraId="47851CF7">
      <w:pPr>
        <w:pStyle w:val="4"/>
        <w:numPr>
          <w:ilvl w:val="0"/>
          <w:numId w:val="3"/>
        </w:numPr>
        <w:ind w:firstLineChars="0"/>
        <w:rPr>
          <w:b/>
          <w:sz w:val="28"/>
          <w:szCs w:val="28"/>
        </w:rPr>
      </w:pPr>
      <w:r>
        <w:rPr>
          <w:rFonts w:hint="eastAsia"/>
          <w:b/>
          <w:sz w:val="28"/>
          <w:szCs w:val="28"/>
        </w:rPr>
        <w:t>拓客源，坐商变行商，非烟特色聚人气</w:t>
      </w:r>
    </w:p>
    <w:p w14:paraId="7B01E795">
      <w:pPr>
        <w:ind w:firstLine="560" w:firstLineChars="200"/>
        <w:rPr>
          <w:sz w:val="28"/>
          <w:szCs w:val="28"/>
        </w:rPr>
      </w:pPr>
      <w:r>
        <w:rPr>
          <w:rFonts w:hint="eastAsia" w:asciiTheme="minorEastAsia" w:hAnsiTheme="minorEastAsia" w:cstheme="minorEastAsia"/>
          <w:sz w:val="28"/>
          <w:szCs w:val="28"/>
        </w:rPr>
        <w:t>面对日益激烈的市场竞争，传统“坐等客户上门”的销售模式已难以适应发展需求。为此，我们要积极转变思路，聚焦非烟业务特色，探索“地摊+营销”新模式，将服务触角延伸至街头巷尾，打破传统营销边界，推动客户资源的多元化拓展。</w:t>
      </w:r>
    </w:p>
    <w:p w14:paraId="418679A6">
      <w:pPr>
        <w:pStyle w:val="4"/>
        <w:numPr>
          <w:ilvl w:val="0"/>
          <w:numId w:val="3"/>
        </w:numPr>
        <w:ind w:firstLineChars="0"/>
        <w:rPr>
          <w:b/>
          <w:sz w:val="28"/>
          <w:szCs w:val="28"/>
        </w:rPr>
      </w:pPr>
      <w:r>
        <w:rPr>
          <w:rFonts w:hint="eastAsia"/>
          <w:b/>
          <w:sz w:val="28"/>
          <w:szCs w:val="28"/>
        </w:rPr>
        <w:t>去库存，单打变团战，优势互补纾困局</w:t>
      </w:r>
    </w:p>
    <w:p w14:paraId="20D6927A">
      <w:pPr>
        <w:ind w:firstLine="560" w:firstLineChars="200"/>
        <w:rPr>
          <w:sz w:val="28"/>
          <w:szCs w:val="28"/>
        </w:rPr>
      </w:pPr>
      <w:r>
        <w:rPr>
          <w:rFonts w:hint="eastAsia" w:asciiTheme="minorEastAsia" w:hAnsiTheme="minorEastAsia" w:cstheme="minorEastAsia"/>
          <w:sz w:val="28"/>
          <w:szCs w:val="28"/>
        </w:rPr>
        <w:t>面对库存压力持续加大，传统的“单兵作战”式营销策略已难以满足多元化、动态化的市场需求。因此，我们要整合客户资源、联动零售终端、协同“卷烟+非烟”业务板块，构建多方协同、资源共享、优势互补的“团战”模式，助力库存优化，纾解客户困境。</w:t>
      </w:r>
    </w:p>
    <w:p w14:paraId="38BE2B0D">
      <w:pPr>
        <w:pStyle w:val="4"/>
        <w:numPr>
          <w:ilvl w:val="0"/>
          <w:numId w:val="3"/>
        </w:numPr>
        <w:ind w:firstLineChars="0"/>
        <w:rPr>
          <w:b/>
          <w:sz w:val="28"/>
          <w:szCs w:val="28"/>
        </w:rPr>
      </w:pPr>
      <w:r>
        <w:rPr>
          <w:rFonts w:hint="eastAsia"/>
          <w:b/>
          <w:sz w:val="28"/>
          <w:szCs w:val="28"/>
        </w:rPr>
        <w:t>减负担，被动变主动，服务赋能降成本</w:t>
      </w:r>
    </w:p>
    <w:p w14:paraId="7B8B65D0">
      <w:pPr>
        <w:ind w:firstLine="700" w:firstLineChars="250"/>
        <w:rPr>
          <w:sz w:val="28"/>
          <w:szCs w:val="28"/>
        </w:rPr>
      </w:pPr>
      <w:r>
        <w:rPr>
          <w:rFonts w:hint="eastAsia" w:asciiTheme="minorEastAsia" w:hAnsiTheme="minorEastAsia" w:cstheme="minorEastAsia"/>
          <w:sz w:val="28"/>
          <w:szCs w:val="28"/>
        </w:rPr>
        <w:t>面对客户经营压力与日俱增，我们要主动转变工作思维，从“被动响应”向“主动服务”转变，通过优化服务流程、整合资源力量、提升协同效率，推动服务质量进一步提升，切实减轻客户经营负担，推动服务价值与成本控制的双向提升。</w:t>
      </w:r>
    </w:p>
    <w:p w14:paraId="03CC3FB3">
      <w:pPr>
        <w:pStyle w:val="4"/>
        <w:numPr>
          <w:ilvl w:val="0"/>
          <w:numId w:val="3"/>
        </w:numPr>
        <w:ind w:firstLineChars="0"/>
        <w:rPr>
          <w:b/>
          <w:sz w:val="28"/>
          <w:szCs w:val="28"/>
        </w:rPr>
      </w:pPr>
      <w:r>
        <w:rPr>
          <w:rFonts w:hint="eastAsia"/>
          <w:b/>
          <w:sz w:val="28"/>
          <w:szCs w:val="28"/>
        </w:rPr>
        <w:t>强信心，独占变分享，资源贯通共发展</w:t>
      </w:r>
    </w:p>
    <w:p w14:paraId="06902A97">
      <w:pPr>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为进一步增强卷烟零售客户的经营信心与市场适应能力，我们积极推动“信息共享、经验共传、资源共用”的协同发展机制，打破“各自为战”的局限思维，倡导从“经验独占”向“经验分享”转变，助力零售客户整体提升经营水平与盈利能力。</w:t>
      </w:r>
    </w:p>
    <w:p w14:paraId="7D3DEF6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65A44"/>
    <w:multiLevelType w:val="multilevel"/>
    <w:tmpl w:val="5A165A44"/>
    <w:lvl w:ilvl="0" w:tentative="0">
      <w:start w:val="1"/>
      <w:numFmt w:val="japaneseCounting"/>
      <w:lvlText w:val="%1、"/>
      <w:lvlJc w:val="left"/>
      <w:pPr>
        <w:ind w:left="1350" w:hanging="72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1">
    <w:nsid w:val="71117BB8"/>
    <w:multiLevelType w:val="multilevel"/>
    <w:tmpl w:val="71117BB8"/>
    <w:lvl w:ilvl="0" w:tentative="0">
      <w:start w:val="1"/>
      <w:numFmt w:val="japaneseCounting"/>
      <w:lvlText w:val="%1、"/>
      <w:lvlJc w:val="left"/>
      <w:pPr>
        <w:ind w:left="1350" w:hanging="72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abstractNum w:abstractNumId="2">
    <w:nsid w:val="78EC4511"/>
    <w:multiLevelType w:val="multilevel"/>
    <w:tmpl w:val="78EC4511"/>
    <w:lvl w:ilvl="0" w:tentative="0">
      <w:start w:val="1"/>
      <w:numFmt w:val="japaneseCounting"/>
      <w:lvlText w:val="%1、"/>
      <w:lvlJc w:val="left"/>
      <w:pPr>
        <w:ind w:left="1350" w:hanging="720"/>
      </w:pPr>
      <w:rPr>
        <w:rFonts w:hint="default"/>
      </w:rPr>
    </w:lvl>
    <w:lvl w:ilvl="1" w:tentative="0">
      <w:start w:val="1"/>
      <w:numFmt w:val="lowerLetter"/>
      <w:lvlText w:val="%2)"/>
      <w:lvlJc w:val="left"/>
      <w:pPr>
        <w:ind w:left="1470" w:hanging="420"/>
      </w:pPr>
    </w:lvl>
    <w:lvl w:ilvl="2" w:tentative="0">
      <w:start w:val="1"/>
      <w:numFmt w:val="lowerRoman"/>
      <w:lvlText w:val="%3."/>
      <w:lvlJc w:val="right"/>
      <w:pPr>
        <w:ind w:left="1890" w:hanging="420"/>
      </w:pPr>
    </w:lvl>
    <w:lvl w:ilvl="3" w:tentative="0">
      <w:start w:val="1"/>
      <w:numFmt w:val="decimal"/>
      <w:lvlText w:val="%4."/>
      <w:lvlJc w:val="left"/>
      <w:pPr>
        <w:ind w:left="2310" w:hanging="420"/>
      </w:pPr>
    </w:lvl>
    <w:lvl w:ilvl="4" w:tentative="0">
      <w:start w:val="1"/>
      <w:numFmt w:val="lowerLetter"/>
      <w:lvlText w:val="%5)"/>
      <w:lvlJc w:val="left"/>
      <w:pPr>
        <w:ind w:left="2730" w:hanging="420"/>
      </w:pPr>
    </w:lvl>
    <w:lvl w:ilvl="5" w:tentative="0">
      <w:start w:val="1"/>
      <w:numFmt w:val="lowerRoman"/>
      <w:lvlText w:val="%6."/>
      <w:lvlJc w:val="right"/>
      <w:pPr>
        <w:ind w:left="3150" w:hanging="420"/>
      </w:pPr>
    </w:lvl>
    <w:lvl w:ilvl="6" w:tentative="0">
      <w:start w:val="1"/>
      <w:numFmt w:val="decimal"/>
      <w:lvlText w:val="%7."/>
      <w:lvlJc w:val="left"/>
      <w:pPr>
        <w:ind w:left="3570" w:hanging="420"/>
      </w:pPr>
    </w:lvl>
    <w:lvl w:ilvl="7" w:tentative="0">
      <w:start w:val="1"/>
      <w:numFmt w:val="lowerLetter"/>
      <w:lvlText w:val="%8)"/>
      <w:lvlJc w:val="left"/>
      <w:pPr>
        <w:ind w:left="3990" w:hanging="420"/>
      </w:pPr>
    </w:lvl>
    <w:lvl w:ilvl="8" w:tentative="0">
      <w:start w:val="1"/>
      <w:numFmt w:val="lowerRoman"/>
      <w:lvlText w:val="%9."/>
      <w:lvlJc w:val="right"/>
      <w:pPr>
        <w:ind w:left="441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715"/>
    <w:rsid w:val="006F6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2025-09-05T01:57:00Z</dcterms:created>
  <dc:creator>大家都说帅的骁战同学</dc:creator>
  <cp:lastModifiedBy>大家都说帅的骁战同学</cp:lastModifiedBy>
  <dcterms:modified xsi:type="dcterms:W3CDTF">2025-09-05T01:58:12Z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471194FAB68D40CD880D60A4A78B3BAA_11</vt:lpwstr>
  </property>
  <property fmtid="{D5CDD505-2E9C-101B-9397-08002B2CF9AE}" pid="4" name="KSOTemplateDocerSaveRecord">
    <vt:lpwstr>eyJoZGlkIjoiMjMyNTk3YTUxMmZmYjBiNTNhNjRhYzgwYTUyZmIwYjciLCJ1c2VySWQiOiI4OTM5NjI4MDgifQ==</vt:lpwstr>
  </property>
</Properties>
</file>