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rPr/>
      </w:pPr>
      <w:hyperlink w:anchor="fn3">
        <w:r>
          <w:rPr/>
          <w:drawing>
            <wp:inline distT="0" distB="0" distL="0" distR="0">
              <wp:extent cx="2419985" cy="609600"/>
              <wp:effectExtent l="0" t="0" r="0" b="0"/>
              <wp:docPr id="1" name="image-e85dc109d37ad2591888a7ec2303f70a8025d1c2.png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-e85dc109d37ad2591888a7ec2303f70a8025d1c2.png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419985" cy="60960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hyperlink>
    </w:p>
    <w:p>
      <w:pPr>
        <w:pStyle w:val="Normal"/>
        <w:spacing w:lineRule="auto" w:line="360" w:before="315" w:after="105"/>
        <w:ind w:left="-30"/>
        <w:jc w:val="left"/>
        <w:rPr/>
      </w:pPr>
      <w:bookmarkStart w:id="0" w:name="краткие_выводы"/>
      <w:r>
        <w:rPr>
          <w:rFonts w:eastAsia="source serif 4" w:cs="source serif 4" w:ascii="source serif 4" w:hAnsi="source serif 4"/>
          <w:b/>
          <w:color w:val="000000"/>
          <w:sz w:val="24"/>
        </w:rPr>
        <w:t>Краткие выводы</w:t>
      </w:r>
      <w:bookmarkEnd w:id="0"/>
    </w:p>
    <w:p>
      <w:pPr>
        <w:pStyle w:val="Normal"/>
        <w:spacing w:lineRule="auto" w:line="360" w:before="315" w:after="105"/>
        <w:ind w:left="-30"/>
        <w:jc w:val="left"/>
        <w:rPr/>
      </w:pPr>
      <w:bookmarkStart w:id="1" w:name="bm_1_что_считать_лучшим_стендом"/>
      <w:r>
        <w:rPr>
          <w:rFonts w:eastAsia="source serif 4" w:cs="source serif 4" w:ascii="source serif 4" w:hAnsi="source serif 4"/>
          <w:b/>
          <w:color w:val="000000"/>
          <w:sz w:val="24"/>
        </w:rPr>
        <w:t>1) Что считать лучшим стендом</w:t>
      </w:r>
      <w:bookmarkEnd w:id="1"/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color w:val="000000"/>
        </w:rPr>
        <w:t>Для инженерного стенда важнее всего: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открытая архитектура;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доступ к весам, коду, данным и логам;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понятный training recipe;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возможность локального запуска и модификаций;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наличие инструментов для анализа внутренних механизмов;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долгосрочная воспроизводимость.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color w:val="000000"/>
        </w:rPr>
        <w:t xml:space="preserve">По этим признакам </w:t>
      </w:r>
      <w:r>
        <w:rPr>
          <w:rFonts w:eastAsia="source serif 4" w:cs="source serif 4" w:ascii="source serif 4" w:hAnsi="source serif 4"/>
          <w:b/>
          <w:color w:val="000000"/>
        </w:rPr>
        <w:t>OLMo</w:t>
      </w:r>
      <w:r>
        <w:rPr>
          <w:rFonts w:eastAsia="source serif 4" w:cs="source serif 4" w:ascii="source serif 4" w:hAnsi="source serif 4"/>
          <w:color w:val="000000"/>
        </w:rPr>
        <w:t xml:space="preserve"> выглядит сильнее остальных, потому что проект позиционируется как fully open и публикует не только модели, но и код, данные, чекпойнты, логи и детали обучения.</w:t>
      </w:r>
      <w:hyperlink w:anchor="fn3">
        <w:bookmarkStart w:id="2" w:name="fnref3_1"/>
        <w:bookmarkEnd w:id="2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[3]</w:t>
        </w:r>
      </w:hyperlink>
      <w:hyperlink w:anchor="fn4">
        <w:bookmarkStart w:id="3" w:name="fnref4"/>
        <w:bookmarkEnd w:id="3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[4]</w:t>
        </w:r>
      </w:hyperlink>
      <w:hyperlink w:anchor="fn1">
        <w:bookmarkStart w:id="4" w:name="fnref1_1"/>
        <w:bookmarkEnd w:id="4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[1]</w:t>
        </w:r>
      </w:hyperlink>
    </w:p>
    <w:p>
      <w:pPr>
        <w:pStyle w:val="Normal"/>
        <w:spacing w:lineRule="auto" w:line="360" w:before="315" w:after="105"/>
        <w:ind w:left="-30"/>
        <w:jc w:val="left"/>
        <w:rPr/>
      </w:pPr>
      <w:bookmarkStart w:id="5" w:name="bm_2_главный_компромисс"/>
      <w:r>
        <w:rPr>
          <w:rFonts w:eastAsia="source serif 4" w:cs="source serif 4" w:ascii="source serif 4" w:hAnsi="source serif 4"/>
          <w:b/>
          <w:color w:val="000000"/>
          <w:sz w:val="24"/>
        </w:rPr>
        <w:t>2) Главный компромисс</w:t>
      </w:r>
      <w:bookmarkEnd w:id="5"/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color w:val="000000"/>
        </w:rPr>
        <w:t xml:space="preserve">Если нужен не самый “чистый” исследовательский объект, а более зрелая экосистема и широкий набор хорошо задокументированных open-weight моделей, то </w:t>
      </w:r>
      <w:r>
        <w:rPr>
          <w:rFonts w:eastAsia="source serif 4" w:cs="source serif 4" w:ascii="source serif 4" w:hAnsi="source serif 4"/>
          <w:b/>
          <w:color w:val="000000"/>
        </w:rPr>
        <w:t>Qwen</w:t>
      </w:r>
      <w:r>
        <w:rPr>
          <w:rFonts w:eastAsia="source serif 4" w:cs="source serif 4" w:ascii="source serif 4" w:hAnsi="source serif 4"/>
          <w:color w:val="000000"/>
        </w:rPr>
        <w:t xml:space="preserve"> часто оказывается очень практичным вторым выбором: у него хорошая документация, открытые веса и сильная инженерная база. Но по полноте “открытости процесса” он обычно уступает OLMo.</w:t>
      </w:r>
      <w:hyperlink w:anchor="fn2">
        <w:bookmarkStart w:id="6" w:name="fnref2_1"/>
        <w:bookmarkEnd w:id="6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[2]</w:t>
        </w:r>
      </w:hyperlink>
      <w:hyperlink w:anchor="fn5">
        <w:bookmarkStart w:id="7" w:name="fnref5"/>
        <w:bookmarkEnd w:id="7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[5]</w:t>
        </w:r>
      </w:hyperlink>
      <w:hyperlink w:anchor="fn6">
        <w:bookmarkStart w:id="8" w:name="fnref6"/>
        <w:bookmarkEnd w:id="8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[6]</w:t>
        </w:r>
      </w:hyperlink>
    </w:p>
    <w:p>
      <w:pPr>
        <w:pStyle w:val="Normal"/>
        <w:spacing w:lineRule="auto" w:line="360" w:before="315" w:after="105"/>
        <w:ind w:left="-30"/>
        <w:jc w:val="left"/>
        <w:rPr/>
      </w:pPr>
      <w:bookmarkStart w:id="9" w:name="разбор_по_моделям"/>
      <w:r>
        <w:rPr>
          <w:rFonts w:eastAsia="source serif 4" w:cs="source serif 4" w:ascii="source serif 4" w:hAnsi="source serif 4"/>
          <w:b/>
          <w:color w:val="000000"/>
          <w:sz w:val="24"/>
        </w:rPr>
        <w:t>Разбор по моделям</w:t>
      </w:r>
      <w:bookmarkEnd w:id="9"/>
    </w:p>
    <w:p>
      <w:pPr>
        <w:pStyle w:val="Normal"/>
        <w:spacing w:lineRule="auto" w:line="360" w:before="315" w:after="105"/>
        <w:ind w:left="-30"/>
        <w:jc w:val="left"/>
        <w:rPr/>
      </w:pPr>
      <w:bookmarkStart w:id="10" w:name="olmo"/>
      <w:r>
        <w:rPr>
          <w:rFonts w:eastAsia="source serif 4" w:cs="source serif 4" w:ascii="source serif 4" w:hAnsi="source serif 4"/>
          <w:b/>
          <w:color w:val="000000"/>
          <w:sz w:val="24"/>
        </w:rPr>
        <w:t>OLMo</w:t>
      </w:r>
      <w:bookmarkEnd w:id="10"/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Кратко:</w:t>
      </w:r>
      <w:r>
        <w:rPr>
          <w:rFonts w:eastAsia="source serif 4" w:cs="source serif 4" w:ascii="source serif 4" w:hAnsi="source serif 4"/>
          <w:color w:val="000000"/>
        </w:rPr>
        <w:t xml:space="preserve"> наиболее “fully open” из рассмотренных семейств. Проект Ai2 подчёркивает доступ к full lifecycle: код, веса, данные, промежуточные чекпойнты, логи и артефакты обучения.</w:t>
      </w:r>
      <w:hyperlink w:anchor="fn4">
        <w:bookmarkStart w:id="11" w:name="fnref4_1"/>
        <w:bookmarkEnd w:id="11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[4]</w:t>
        </w:r>
      </w:hyperlink>
      <w:hyperlink w:anchor="fn1">
        <w:bookmarkStart w:id="12" w:name="fnref1_2"/>
        <w:bookmarkEnd w:id="12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[1]</w:t>
        </w:r>
      </w:hyperlink>
      <w:hyperlink w:anchor="fn3">
        <w:bookmarkStart w:id="13" w:name="fnref3_2"/>
        <w:bookmarkEnd w:id="13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[3]</w:t>
        </w:r>
      </w:hyperlink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Сильные стороны: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Максимальная прозрачность полного цикла разработки.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Хорошая база для воспроизводимых экспериментов.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Удобен для вмешательства в отдельные стадии пайплайна.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Подходит для анализа эффектов данных, токенизации, пост-тренинга и т.д.</w:t>
      </w:r>
      <w:hyperlink w:anchor="fn1">
        <w:bookmarkStart w:id="14" w:name="fnref1_3"/>
        <w:bookmarkEnd w:id="14"/>
        <w:r>
          <w:rPr>
            <w:rStyle w:val="Style9"/>
            <w:rFonts w:eastAsia="source sans 3" w:cs="source sans 3" w:ascii="source sans 3" w:hAnsi="source sans 3"/>
            <w:color w:val="auto"/>
            <w:sz w:val="21"/>
            <w:u w:val="single"/>
            <w:vertAlign w:val="superscript"/>
          </w:rPr>
          <w:t>[1]</w:t>
        </w:r>
      </w:hyperlink>
      <w:hyperlink w:anchor="fn3">
        <w:bookmarkStart w:id="15" w:name="fnref3_3"/>
        <w:bookmarkEnd w:id="15"/>
        <w:r>
          <w:rPr>
            <w:rStyle w:val="Style9"/>
            <w:rFonts w:eastAsia="source sans 3" w:cs="source sans 3" w:ascii="source sans 3" w:hAnsi="source sans 3"/>
            <w:color w:val="auto"/>
            <w:sz w:val="21"/>
            <w:u w:val="single"/>
            <w:vertAlign w:val="superscript"/>
          </w:rPr>
          <w:t>[3]</w:t>
        </w:r>
      </w:hyperlink>
      <w:hyperlink w:anchor="fn4">
        <w:bookmarkStart w:id="16" w:name="fnref4_2"/>
        <w:bookmarkEnd w:id="16"/>
        <w:r>
          <w:rPr>
            <w:rStyle w:val="Style9"/>
            <w:rFonts w:eastAsia="source sans 3" w:cs="source sans 3" w:ascii="source sans 3" w:hAnsi="source sans 3"/>
            <w:color w:val="auto"/>
            <w:sz w:val="21"/>
            <w:u w:val="single"/>
            <w:vertAlign w:val="superscript"/>
          </w:rPr>
          <w:t>[4]</w:t>
        </w:r>
      </w:hyperlink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Слабые стороны: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Экосистема и “боевой” набор производственных интеграций обычно уже, чем у Llama/Qwen.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Как исследовательский объект очень хорош, но может быть менее удобен, если нужен широкий набор сторонних туториалов и готовых инструментов.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Ограничения: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Масштаб и набор релизов могут быть меньше, чем у самых массовых семейств.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Не всегда это лучший выбор, если цель — максимальная совместимость с внешними inference stack’ами.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Инженерные риски: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Риск зависимости от конкретного поколения релиза.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Если целевой стенд долго живёт, часть артефактов может меняться между версиями, и потребуется жёсткая фиксация окружения.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Общая оценка:</w:t>
      </w:r>
      <w:r>
        <w:rPr>
          <w:rFonts w:eastAsia="source serif 4" w:cs="source serif 4" w:ascii="source serif 4" w:hAnsi="source serif 4"/>
          <w:color w:val="000000"/>
        </w:rPr>
        <w:t xml:space="preserve"> 9.5/10 как лабораторный эталон.</w:t>
      </w:r>
      <w:hyperlink w:anchor="fn3">
        <w:bookmarkStart w:id="17" w:name="fnref3_4"/>
        <w:bookmarkEnd w:id="17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[3]</w:t>
        </w:r>
      </w:hyperlink>
      <w:hyperlink w:anchor="fn4">
        <w:bookmarkStart w:id="18" w:name="fnref4_3"/>
        <w:bookmarkEnd w:id="18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[4]</w:t>
        </w:r>
      </w:hyperlink>
      <w:hyperlink w:anchor="fn1">
        <w:bookmarkStart w:id="19" w:name="fnref1_4"/>
        <w:bookmarkEnd w:id="19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[1]</w:t>
        </w:r>
      </w:hyperlink>
    </w:p>
    <w:p>
      <w:pPr>
        <w:pStyle w:val="Normal"/>
        <w:spacing w:lineRule="auto" w:line="360" w:before="315" w:after="105"/>
        <w:ind w:left="-30"/>
        <w:jc w:val="left"/>
        <w:rPr/>
      </w:pPr>
      <w:bookmarkStart w:id="20" w:name="qwen"/>
      <w:r>
        <w:rPr>
          <w:rFonts w:eastAsia="source serif 4" w:cs="source serif 4" w:ascii="source serif 4" w:hAnsi="source serif 4"/>
          <w:b/>
          <w:color w:val="000000"/>
          <w:sz w:val="24"/>
        </w:rPr>
        <w:t>Qwen</w:t>
      </w:r>
      <w:bookmarkEnd w:id="20"/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Кратко:</w:t>
      </w:r>
      <w:r>
        <w:rPr>
          <w:rFonts w:eastAsia="source serif 4" w:cs="source serif 4" w:ascii="source serif 4" w:hAnsi="source serif 4"/>
          <w:color w:val="000000"/>
        </w:rPr>
        <w:t xml:space="preserve"> очень сильное open-weight семейство с хорошей документацией и открытыми техническими отчётами; Qwen3 прямо позиционируется как publicly accessible under Apache 2.0.</w:t>
      </w:r>
      <w:hyperlink w:anchor="fn5">
        <w:bookmarkStart w:id="21" w:name="fnref5_1"/>
        <w:bookmarkEnd w:id="21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[5]</w:t>
        </w:r>
      </w:hyperlink>
      <w:hyperlink w:anchor="fn6">
        <w:bookmarkStart w:id="22" w:name="fnref6_1"/>
        <w:bookmarkEnd w:id="22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[6]</w:t>
        </w:r>
      </w:hyperlink>
      <w:hyperlink w:anchor="fn2">
        <w:bookmarkStart w:id="23" w:name="fnref2_2"/>
        <w:bookmarkEnd w:id="23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[2]</w:t>
        </w:r>
      </w:hyperlink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Сильные стороны: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Хорошая открытость весов и документации.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Обычно очень сильная инженерная экосистема.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Удобен для локального запуска и экспериментов.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Есть много вариантов размеров и поколений, что полезно для абляций.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Слабые стороны: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По полноте раскрытия полного цикла обучения и артефактов обычно уступает OLMo.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Часть инженерной прозрачности может ограничиваться модель-картами и отчётами, а не полным набором внутренних данных.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Ограничения: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Некоторые релизы могут быть не одинаково открыты по всем компонентам.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Для “чистой науки о модели” лучше, чем для “абсолютно полного” исследования всех стадий жизненного цикла.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Инженерные риски: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Версионность и разнородность семейств могут осложнять сравнение.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Нужно внимательно фиксировать, какая именно версия анализируется.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Общая оценка:</w:t>
      </w:r>
      <w:r>
        <w:rPr>
          <w:rFonts w:eastAsia="source serif 4" w:cs="source serif 4" w:ascii="source serif 4" w:hAnsi="source serif 4"/>
          <w:color w:val="000000"/>
        </w:rPr>
        <w:t xml:space="preserve"> 9/10. Очень сильный второй выбор.</w:t>
      </w:r>
      <w:hyperlink w:anchor="fn6">
        <w:bookmarkStart w:id="24" w:name="fnref6_2"/>
        <w:bookmarkEnd w:id="24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[6]</w:t>
        </w:r>
      </w:hyperlink>
      <w:hyperlink w:anchor="fn2">
        <w:bookmarkStart w:id="25" w:name="fnref2_3"/>
        <w:bookmarkEnd w:id="25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[2]</w:t>
        </w:r>
      </w:hyperlink>
      <w:hyperlink w:anchor="fn5">
        <w:bookmarkStart w:id="26" w:name="fnref5_2"/>
        <w:bookmarkEnd w:id="26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[5]</w:t>
        </w:r>
      </w:hyperlink>
    </w:p>
    <w:p>
      <w:pPr>
        <w:pStyle w:val="Normal"/>
        <w:spacing w:lineRule="auto" w:line="360" w:before="315" w:after="105"/>
        <w:ind w:left="-30"/>
        <w:jc w:val="left"/>
        <w:rPr/>
      </w:pPr>
      <w:bookmarkStart w:id="27" w:name="llama"/>
      <w:r>
        <w:rPr>
          <w:rFonts w:eastAsia="source serif 4" w:cs="source serif 4" w:ascii="source serif 4" w:hAnsi="source serif 4"/>
          <w:b/>
          <w:color w:val="000000"/>
          <w:sz w:val="24"/>
        </w:rPr>
        <w:t>Llama</w:t>
      </w:r>
      <w:bookmarkEnd w:id="27"/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Кратко:</w:t>
      </w:r>
      <w:r>
        <w:rPr>
          <w:rFonts w:eastAsia="source serif 4" w:cs="source serif 4" w:ascii="source serif 4" w:hAnsi="source serif 4"/>
          <w:color w:val="000000"/>
        </w:rPr>
        <w:t xml:space="preserve"> исторически один из самых значимых open-weight семейств, с хорошей документацией по архитектуре: GQA, RoPE, tokenizer 128K, sequence length 8192.</w:t>
      </w:r>
      <w:hyperlink w:anchor="fn7">
        <w:bookmarkStart w:id="28" w:name="fnref7"/>
        <w:bookmarkEnd w:id="28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[7]</w:t>
        </w:r>
      </w:hyperlink>
      <w:hyperlink w:anchor="fn8">
        <w:bookmarkStart w:id="29" w:name="fnref8"/>
        <w:bookmarkEnd w:id="29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[8]</w:t>
        </w:r>
      </w:hyperlink>
      <w:hyperlink w:anchor="fn9">
        <w:bookmarkStart w:id="30" w:name="fnref9"/>
        <w:bookmarkEnd w:id="30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[9]</w:t>
        </w:r>
      </w:hyperlink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Сильные стороны: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Сильная и широко известная техническая база.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Хорошо документированная архитектура в model cards.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Большая совместимость с инструментами и библиотеками.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Удобен для локального запуска и исследований на стандартных стеках.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Слабые стороны:</w:t>
      </w:r>
    </w:p>
    <w:p>
      <w:pPr>
        <w:pStyle w:val="Normal"/>
        <w:numPr>
          <w:ilvl w:val="0"/>
          <w:numId w:val="11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Не fully open в смысле полного жизненного цикла.</w:t>
      </w:r>
    </w:p>
    <w:p>
      <w:pPr>
        <w:pStyle w:val="Normal"/>
        <w:numPr>
          <w:ilvl w:val="0"/>
          <w:numId w:val="11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Доступность весов и лицензирование зависят от конкретной версии.</w:t>
      </w:r>
    </w:p>
    <w:p>
      <w:pPr>
        <w:pStyle w:val="Normal"/>
        <w:numPr>
          <w:ilvl w:val="0"/>
          <w:numId w:val="11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Процесс обучения и датасеты обычно менее прозрачны, чем у OLMo.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Ограничения: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Для глубокой научной реконструкции training pipeline Llama менее удобна, чем OLMo.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Некоторые модификации и использование могут упираться в лицензионные ограничения.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Инженерные риски: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Лицензионная неопределённость для отдельных сценариев.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Стабильность экосистемы высокая, но это не равно максимальной исследовательской открытости.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Общая оценка:</w:t>
      </w:r>
      <w:r>
        <w:rPr>
          <w:rFonts w:eastAsia="source serif 4" w:cs="source serif 4" w:ascii="source serif 4" w:hAnsi="source serif 4"/>
          <w:color w:val="000000"/>
        </w:rPr>
        <w:t xml:space="preserve"> 8.5/10.</w:t>
      </w:r>
      <w:hyperlink w:anchor="fn8">
        <w:bookmarkStart w:id="31" w:name="fnref8_1"/>
        <w:bookmarkEnd w:id="31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[8]</w:t>
        </w:r>
      </w:hyperlink>
      <w:hyperlink w:anchor="fn9">
        <w:bookmarkStart w:id="32" w:name="fnref9_1"/>
        <w:bookmarkEnd w:id="32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[9]</w:t>
        </w:r>
      </w:hyperlink>
      <w:hyperlink w:anchor="fn7">
        <w:bookmarkStart w:id="33" w:name="fnref7_1"/>
        <w:bookmarkEnd w:id="33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[7]</w:t>
        </w:r>
      </w:hyperlink>
    </w:p>
    <w:p>
      <w:pPr>
        <w:pStyle w:val="Normal"/>
        <w:spacing w:lineRule="auto" w:line="360" w:before="315" w:after="105"/>
        <w:ind w:left="-30"/>
        <w:jc w:val="left"/>
        <w:rPr/>
      </w:pPr>
      <w:bookmarkStart w:id="34" w:name="mistral"/>
      <w:r>
        <w:rPr>
          <w:rFonts w:eastAsia="source serif 4" w:cs="source serif 4" w:ascii="source serif 4" w:hAnsi="source serif 4"/>
          <w:b/>
          <w:color w:val="000000"/>
          <w:sz w:val="24"/>
        </w:rPr>
        <w:t>Mistral</w:t>
      </w:r>
      <w:bookmarkEnd w:id="34"/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Кратко:</w:t>
      </w:r>
      <w:r>
        <w:rPr>
          <w:rFonts w:eastAsia="source serif 4" w:cs="source serif 4" w:ascii="source serif 4" w:hAnsi="source serif 4"/>
          <w:color w:val="000000"/>
        </w:rPr>
        <w:t xml:space="preserve"> сильное семейство с хорошими инженерными документами и open-weight релизами; у новых версий есть MoE и хорошие инструменты деплоя.</w:t>
      </w:r>
      <w:hyperlink w:anchor="fn10">
        <w:bookmarkStart w:id="35" w:name="fnref10"/>
        <w:bookmarkEnd w:id="35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[10]</w:t>
        </w:r>
      </w:hyperlink>
      <w:hyperlink w:anchor="fn11">
        <w:bookmarkStart w:id="36" w:name="fnref11"/>
        <w:bookmarkEnd w:id="36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[11]</w:t>
        </w:r>
      </w:hyperlink>
      <w:hyperlink w:anchor="fn12">
        <w:bookmarkStart w:id="37" w:name="fnref12"/>
        <w:bookmarkEnd w:id="37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[12]</w:t>
        </w:r>
      </w:hyperlink>
      <w:hyperlink w:anchor="fn13">
        <w:bookmarkStart w:id="38" w:name="fnref13"/>
        <w:bookmarkEnd w:id="38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[13]</w:t>
        </w:r>
      </w:hyperlink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Сильные стороны:</w:t>
      </w:r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Сильная инженерная документация.</w:t>
      </w:r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Хорошая пригодность для локального запуска.</w:t>
      </w:r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Есть интересные архитектурные особенности вроде MoE в новых релизах.</w:t>
      </w:r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Хорошая совместимость с современными inference stack’ами.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Слабые стороны:</w:t>
      </w:r>
    </w:p>
    <w:p>
      <w:pPr>
        <w:pStyle w:val="Normal"/>
        <w:numPr>
          <w:ilvl w:val="0"/>
          <w:numId w:val="15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Не всегда полная открытость по всем внутренним артефактам.</w:t>
      </w:r>
    </w:p>
    <w:p>
      <w:pPr>
        <w:pStyle w:val="Normal"/>
        <w:numPr>
          <w:ilvl w:val="0"/>
          <w:numId w:val="15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Как лабораторный объект может быть менее удобен, чем OLMo, если нужен полный доступ ко всем стадиям.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Ограничения: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Часть релизов ориентирована на open-weight, а не fully open.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Архитектурная сложность MoE может усложнить вмешательство в анализ.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Инженерные риски:</w:t>
      </w:r>
    </w:p>
    <w:p>
      <w:pPr>
        <w:pStyle w:val="Normal"/>
        <w:numPr>
          <w:ilvl w:val="0"/>
          <w:numId w:val="17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Сложнее воспроизводить и интерпретировать некоторые эффекты из-за MoE.</w:t>
      </w:r>
    </w:p>
    <w:p>
      <w:pPr>
        <w:pStyle w:val="Normal"/>
        <w:numPr>
          <w:ilvl w:val="0"/>
          <w:numId w:val="17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Для долгого стенда надо тщательно фиксировать версии и зависимости.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Общая оценка:</w:t>
      </w:r>
      <w:r>
        <w:rPr>
          <w:rFonts w:eastAsia="source serif 4" w:cs="source serif 4" w:ascii="source serif 4" w:hAnsi="source serif 4"/>
          <w:color w:val="000000"/>
        </w:rPr>
        <w:t xml:space="preserve"> 8.5/10.</w:t>
      </w:r>
      <w:hyperlink w:anchor="fn11">
        <w:bookmarkStart w:id="39" w:name="fnref11_1"/>
        <w:bookmarkEnd w:id="39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[11]</w:t>
        </w:r>
      </w:hyperlink>
      <w:hyperlink w:anchor="fn12">
        <w:bookmarkStart w:id="40" w:name="fnref12_1"/>
        <w:bookmarkEnd w:id="40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[12]</w:t>
        </w:r>
      </w:hyperlink>
      <w:hyperlink w:anchor="fn13">
        <w:bookmarkStart w:id="41" w:name="fnref13_1"/>
        <w:bookmarkEnd w:id="41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[13]</w:t>
        </w:r>
      </w:hyperlink>
    </w:p>
    <w:p>
      <w:pPr>
        <w:pStyle w:val="Normal"/>
        <w:spacing w:lineRule="auto" w:line="360" w:before="315" w:after="105"/>
        <w:ind w:left="-30"/>
        <w:jc w:val="left"/>
        <w:rPr/>
      </w:pPr>
      <w:bookmarkStart w:id="42" w:name="gemma"/>
      <w:r>
        <w:rPr>
          <w:rFonts w:eastAsia="source serif 4" w:cs="source serif 4" w:ascii="source serif 4" w:hAnsi="source serif 4"/>
          <w:b/>
          <w:color w:val="000000"/>
          <w:sz w:val="24"/>
        </w:rPr>
        <w:t>Gemma</w:t>
      </w:r>
      <w:bookmarkEnd w:id="42"/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Кратко:</w:t>
      </w:r>
      <w:r>
        <w:rPr>
          <w:rFonts w:eastAsia="source serif 4" w:cs="source serif 4" w:ascii="source serif 4" w:hAnsi="source serif 4"/>
          <w:color w:val="000000"/>
        </w:rPr>
        <w:t xml:space="preserve"> аккуратно документированное семейство Google, с model cards и техническими отчётами; архитектура decoder-only Transformer, GQA, SentencePiece tokenizer, множество открытых материалов.</w:t>
      </w:r>
      <w:hyperlink w:anchor="fn14">
        <w:bookmarkStart w:id="43" w:name="fnref14"/>
        <w:bookmarkEnd w:id="43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[14]</w:t>
        </w:r>
      </w:hyperlink>
      <w:hyperlink w:anchor="fn15">
        <w:bookmarkStart w:id="44" w:name="fnref15"/>
        <w:bookmarkEnd w:id="44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[15]</w:t>
        </w:r>
      </w:hyperlink>
      <w:hyperlink w:anchor="fn16">
        <w:bookmarkStart w:id="45" w:name="fnref16"/>
        <w:bookmarkEnd w:id="45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[16]</w:t>
        </w:r>
      </w:hyperlink>
      <w:hyperlink w:anchor="fn17">
        <w:bookmarkStart w:id="46" w:name="fnref17"/>
        <w:bookmarkEnd w:id="46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[17]</w:t>
        </w:r>
      </w:hyperlink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Сильные стороны:</w:t>
      </w:r>
    </w:p>
    <w:p>
      <w:pPr>
        <w:pStyle w:val="Normal"/>
        <w:numPr>
          <w:ilvl w:val="0"/>
          <w:numId w:val="18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Хорошая техническая документация.</w:t>
      </w:r>
    </w:p>
    <w:p>
      <w:pPr>
        <w:pStyle w:val="Normal"/>
        <w:numPr>
          <w:ilvl w:val="0"/>
          <w:numId w:val="18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Понятные архитектурные описания.</w:t>
      </w:r>
    </w:p>
    <w:p>
      <w:pPr>
        <w:pStyle w:val="Normal"/>
        <w:numPr>
          <w:ilvl w:val="0"/>
          <w:numId w:val="18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Удобна для локального запуска.</w:t>
      </w:r>
    </w:p>
    <w:p>
      <w:pPr>
        <w:pStyle w:val="Normal"/>
        <w:numPr>
          <w:ilvl w:val="0"/>
          <w:numId w:val="18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Хороша для сравнительных экспериментов на стандартизированном дизайне.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Слабые стороны:</w:t>
      </w:r>
    </w:p>
    <w:p>
      <w:pPr>
        <w:pStyle w:val="Normal"/>
        <w:numPr>
          <w:ilvl w:val="0"/>
          <w:numId w:val="19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Не полностью open в смысле полного цикла.</w:t>
      </w:r>
    </w:p>
    <w:p>
      <w:pPr>
        <w:pStyle w:val="Normal"/>
        <w:numPr>
          <w:ilvl w:val="0"/>
          <w:numId w:val="19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Доступ к внутренним данным обучения и детальной воспроизводимости ограничен сильнее, чем у OLMo.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Ограничения:</w:t>
      </w:r>
    </w:p>
    <w:p>
      <w:pPr>
        <w:pStyle w:val="Normal"/>
        <w:numPr>
          <w:ilvl w:val="0"/>
          <w:numId w:val="20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Для глубокого вмешательства в процесс обучения исследовательская свобода ограничена.</w:t>
      </w:r>
    </w:p>
    <w:p>
      <w:pPr>
        <w:pStyle w:val="Normal"/>
        <w:numPr>
          <w:ilvl w:val="0"/>
          <w:numId w:val="20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Качество документации высокое, но open-science уровень не максимальный.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Инженерные риски: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Зависимость от политики релизов и лицензий Google.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Возможные изменения между поколениями архитектуры.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Общая оценка:</w:t>
      </w:r>
      <w:r>
        <w:rPr>
          <w:rFonts w:eastAsia="source serif 4" w:cs="source serif 4" w:ascii="source serif 4" w:hAnsi="source serif 4"/>
          <w:color w:val="000000"/>
        </w:rPr>
        <w:t xml:space="preserve"> 8/10.</w:t>
      </w:r>
      <w:hyperlink w:anchor="fn15">
        <w:bookmarkStart w:id="47" w:name="fnref15_1"/>
        <w:bookmarkEnd w:id="47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[15]</w:t>
        </w:r>
      </w:hyperlink>
      <w:hyperlink w:anchor="fn16">
        <w:bookmarkStart w:id="48" w:name="fnref16_1"/>
        <w:bookmarkEnd w:id="48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[16]</w:t>
        </w:r>
      </w:hyperlink>
      <w:hyperlink w:anchor="fn17">
        <w:bookmarkStart w:id="49" w:name="fnref17_1"/>
        <w:bookmarkEnd w:id="49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[17]</w:t>
        </w:r>
      </w:hyperlink>
      <w:hyperlink w:anchor="fn14">
        <w:bookmarkStart w:id="50" w:name="fnref14_1"/>
        <w:bookmarkEnd w:id="50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[14]</w:t>
        </w:r>
      </w:hyperlink>
    </w:p>
    <w:p>
      <w:pPr>
        <w:pStyle w:val="Normal"/>
        <w:spacing w:lineRule="auto" w:line="360" w:before="315" w:after="105"/>
        <w:ind w:left="-30"/>
        <w:jc w:val="left"/>
        <w:rPr/>
      </w:pPr>
      <w:bookmarkStart w:id="51" w:name="falcon"/>
      <w:r>
        <w:rPr>
          <w:rFonts w:eastAsia="source serif 4" w:cs="source serif 4" w:ascii="source serif 4" w:hAnsi="source serif 4"/>
          <w:b/>
          <w:color w:val="000000"/>
          <w:sz w:val="24"/>
        </w:rPr>
        <w:t>Falcon</w:t>
      </w:r>
      <w:bookmarkEnd w:id="51"/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Кратко:</w:t>
      </w:r>
      <w:r>
        <w:rPr>
          <w:rFonts w:eastAsia="source serif 4" w:cs="source serif 4" w:ascii="source serif 4" w:hAnsi="source serif 4"/>
          <w:color w:val="000000"/>
        </w:rPr>
        <w:t xml:space="preserve"> исторически важное семейство с открытыми моделями и документацией, но как исследовательский эталон уже менее привлекательно, чем более новые fully/open-weight проекты.</w:t>
      </w:r>
      <w:hyperlink w:anchor="fn18">
        <w:bookmarkStart w:id="52" w:name="fnref18"/>
        <w:bookmarkEnd w:id="52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[18]</w:t>
        </w:r>
      </w:hyperlink>
      <w:hyperlink w:anchor="fn19">
        <w:bookmarkStart w:id="53" w:name="fnref19"/>
        <w:bookmarkEnd w:id="53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[19]</w:t>
        </w:r>
      </w:hyperlink>
      <w:hyperlink w:anchor="fn20">
        <w:bookmarkStart w:id="54" w:name="fnref20"/>
        <w:bookmarkEnd w:id="54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[20]</w:t>
        </w:r>
      </w:hyperlink>
      <w:hyperlink w:anchor="fn21">
        <w:bookmarkStart w:id="55" w:name="fnref21"/>
        <w:bookmarkEnd w:id="55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[21]</w:t>
        </w:r>
      </w:hyperlink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Сильные стороны: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Исторически хорошо задокументированная архитектура.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Прозрачные технические детали по attention, RoPE, tokenizer.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Можно локально запускать и исследовать.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Слабые стороны:</w:t>
      </w:r>
    </w:p>
    <w:p>
      <w:pPr>
        <w:pStyle w:val="Normal"/>
        <w:numPr>
          <w:ilvl w:val="0"/>
          <w:numId w:val="23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Экосистема и активность сообщества обычно слабее, чем у Llama/Qwen/Mistral.</w:t>
      </w:r>
    </w:p>
    <w:p>
      <w:pPr>
        <w:pStyle w:val="Normal"/>
        <w:numPr>
          <w:ilvl w:val="0"/>
          <w:numId w:val="23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На фоне более новых семейств выглядит менее привлекательным как долгоживущий стенд.</w:t>
      </w:r>
    </w:p>
    <w:p>
      <w:pPr>
        <w:pStyle w:val="Normal"/>
        <w:numPr>
          <w:ilvl w:val="0"/>
          <w:numId w:val="23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Полнота открытости обучения ограничена.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Ограничения:</w:t>
      </w:r>
    </w:p>
    <w:p>
      <w:pPr>
        <w:pStyle w:val="Normal"/>
        <w:numPr>
          <w:ilvl w:val="0"/>
          <w:numId w:val="24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Может уступать по набору современных инструментов и примеров.</w:t>
      </w:r>
    </w:p>
    <w:p>
      <w:pPr>
        <w:pStyle w:val="Normal"/>
        <w:numPr>
          <w:ilvl w:val="0"/>
          <w:numId w:val="24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Как база для новых исследовательских направлений уже не лучший выбор.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Инженерные риски:</w:t>
      </w:r>
    </w:p>
    <w:p>
      <w:pPr>
        <w:pStyle w:val="Normal"/>
        <w:numPr>
          <w:ilvl w:val="0"/>
          <w:numId w:val="25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Риск устаревания экосистемы.</w:t>
      </w:r>
    </w:p>
    <w:p>
      <w:pPr>
        <w:pStyle w:val="Normal"/>
        <w:numPr>
          <w:ilvl w:val="0"/>
          <w:numId w:val="25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Сложнее поддерживать интерес и совместимость в долгую.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Общая оценка:</w:t>
      </w:r>
      <w:r>
        <w:rPr>
          <w:rFonts w:eastAsia="source serif 4" w:cs="source serif 4" w:ascii="source serif 4" w:hAnsi="source serif 4"/>
          <w:color w:val="000000"/>
        </w:rPr>
        <w:t xml:space="preserve"> 6.5/10.</w:t>
      </w:r>
      <w:hyperlink w:anchor="fn19">
        <w:bookmarkStart w:id="56" w:name="fnref19_1"/>
        <w:bookmarkEnd w:id="56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[19]</w:t>
        </w:r>
      </w:hyperlink>
      <w:hyperlink w:anchor="fn20">
        <w:bookmarkStart w:id="57" w:name="fnref20_1"/>
        <w:bookmarkEnd w:id="57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[20]</w:t>
        </w:r>
      </w:hyperlink>
      <w:hyperlink w:anchor="fn21">
        <w:bookmarkStart w:id="58" w:name="fnref21_1"/>
        <w:bookmarkEnd w:id="58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[21]</w:t>
        </w:r>
      </w:hyperlink>
      <w:hyperlink w:anchor="fn18">
        <w:bookmarkStart w:id="59" w:name="fnref18_1"/>
        <w:bookmarkEnd w:id="59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[18]</w:t>
        </w:r>
      </w:hyperlink>
    </w:p>
    <w:p>
      <w:pPr>
        <w:pStyle w:val="Normal"/>
        <w:spacing w:lineRule="auto" w:line="360" w:before="315" w:after="105"/>
        <w:ind w:left="-30"/>
        <w:jc w:val="left"/>
        <w:rPr/>
      </w:pPr>
      <w:bookmarkStart w:id="60" w:name="дополнительные_кандидаты"/>
      <w:r>
        <w:rPr>
          <w:rFonts w:eastAsia="source serif 4" w:cs="source serif 4" w:ascii="source serif 4" w:hAnsi="source serif 4"/>
          <w:b/>
          <w:color w:val="000000"/>
          <w:sz w:val="24"/>
        </w:rPr>
        <w:t>Дополнительные кандидаты</w:t>
      </w:r>
      <w:bookmarkEnd w:id="60"/>
    </w:p>
    <w:p>
      <w:pPr>
        <w:pStyle w:val="Normal"/>
        <w:spacing w:lineRule="auto" w:line="360" w:before="315" w:after="105"/>
        <w:ind w:left="-30"/>
        <w:jc w:val="left"/>
        <w:rPr/>
      </w:pPr>
      <w:bookmarkStart w:id="61" w:name="другие_модели"/>
      <w:r>
        <w:rPr>
          <w:rFonts w:eastAsia="source serif 4" w:cs="source serif 4" w:ascii="source serif 4" w:hAnsi="source serif 4"/>
          <w:b/>
          <w:color w:val="000000"/>
          <w:sz w:val="24"/>
        </w:rPr>
        <w:t>Другие модели</w:t>
      </w:r>
      <w:bookmarkEnd w:id="61"/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color w:val="000000"/>
        </w:rPr>
        <w:t>Если расширять список, то в инженерном смысле стоит отдельно посмотреть на:</w:t>
      </w:r>
    </w:p>
    <w:p>
      <w:pPr>
        <w:pStyle w:val="Normal"/>
        <w:numPr>
          <w:ilvl w:val="0"/>
          <w:numId w:val="26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b/>
          <w:color w:val="000000"/>
          <w:sz w:val="21"/>
        </w:rPr>
        <w:t>OLMo 2 / OLMo 3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как ещё более полный fully open подход, если важен именно весь жизненный цикл.</w:t>
      </w:r>
      <w:hyperlink w:anchor="fn4">
        <w:bookmarkStart w:id="62" w:name="fnref4_4"/>
        <w:bookmarkEnd w:id="62"/>
        <w:r>
          <w:rPr>
            <w:rStyle w:val="Style9"/>
            <w:rFonts w:eastAsia="source sans 3" w:cs="source sans 3" w:ascii="source sans 3" w:hAnsi="source sans 3"/>
            <w:color w:val="auto"/>
            <w:sz w:val="21"/>
            <w:u w:val="single"/>
            <w:vertAlign w:val="superscript"/>
          </w:rPr>
          <w:t>[4]</w:t>
        </w:r>
      </w:hyperlink>
      <w:hyperlink w:anchor="fn3">
        <w:bookmarkStart w:id="63" w:name="fnref3_5"/>
        <w:bookmarkEnd w:id="63"/>
        <w:r>
          <w:rPr>
            <w:rStyle w:val="Style9"/>
            <w:rFonts w:eastAsia="source sans 3" w:cs="source sans 3" w:ascii="source sans 3" w:hAnsi="source sans 3"/>
            <w:color w:val="auto"/>
            <w:sz w:val="21"/>
            <w:u w:val="single"/>
            <w:vertAlign w:val="superscript"/>
          </w:rPr>
          <w:t>[3]</w:t>
        </w:r>
      </w:hyperlink>
    </w:p>
    <w:p>
      <w:pPr>
        <w:pStyle w:val="Normal"/>
        <w:numPr>
          <w:ilvl w:val="0"/>
          <w:numId w:val="26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b/>
          <w:color w:val="000000"/>
          <w:sz w:val="21"/>
        </w:rPr>
        <w:t>Qwen3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если важны open-weight, разнообразие размеров и сильная экосистема.</w:t>
      </w:r>
      <w:hyperlink w:anchor="fn2">
        <w:bookmarkStart w:id="64" w:name="fnref2_4"/>
        <w:bookmarkEnd w:id="64"/>
        <w:r>
          <w:rPr>
            <w:rStyle w:val="Style9"/>
            <w:rFonts w:eastAsia="source sans 3" w:cs="source sans 3" w:ascii="source sans 3" w:hAnsi="source sans 3"/>
            <w:color w:val="auto"/>
            <w:sz w:val="21"/>
            <w:u w:val="single"/>
            <w:vertAlign w:val="superscript"/>
          </w:rPr>
          <w:t>[2]</w:t>
        </w:r>
      </w:hyperlink>
      <w:hyperlink w:anchor="fn5">
        <w:bookmarkStart w:id="65" w:name="fnref5_3"/>
        <w:bookmarkEnd w:id="65"/>
        <w:r>
          <w:rPr>
            <w:rStyle w:val="Style9"/>
            <w:rFonts w:eastAsia="source sans 3" w:cs="source sans 3" w:ascii="source sans 3" w:hAnsi="source sans 3"/>
            <w:color w:val="auto"/>
            <w:sz w:val="21"/>
            <w:u w:val="single"/>
            <w:vertAlign w:val="superscript"/>
          </w:rPr>
          <w:t>[5]</w:t>
        </w:r>
      </w:hyperlink>
    </w:p>
    <w:p>
      <w:pPr>
        <w:pStyle w:val="Normal"/>
        <w:numPr>
          <w:ilvl w:val="0"/>
          <w:numId w:val="26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b/>
          <w:color w:val="000000"/>
          <w:sz w:val="21"/>
        </w:rPr>
        <w:t>Mistral Large 3 / новые Mistral-релизы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если нужен современный open-weight MoE-объект с сильной инфраструктурой.</w:t>
      </w:r>
      <w:hyperlink w:anchor="fn22">
        <w:bookmarkStart w:id="66" w:name="fnref22"/>
        <w:bookmarkEnd w:id="66"/>
        <w:r>
          <w:rPr>
            <w:rStyle w:val="Style9"/>
            <w:rFonts w:eastAsia="source sans 3" w:cs="source sans 3" w:ascii="source sans 3" w:hAnsi="source sans 3"/>
            <w:color w:val="auto"/>
            <w:sz w:val="21"/>
            <w:u w:val="single"/>
            <w:vertAlign w:val="superscript"/>
          </w:rPr>
          <w:t>[22]</w:t>
        </w:r>
      </w:hyperlink>
      <w:hyperlink w:anchor="fn11">
        <w:bookmarkStart w:id="67" w:name="fnref11_2"/>
        <w:bookmarkEnd w:id="67"/>
        <w:r>
          <w:rPr>
            <w:rStyle w:val="Style9"/>
            <w:rFonts w:eastAsia="source sans 3" w:cs="source sans 3" w:ascii="source sans 3" w:hAnsi="source sans 3"/>
            <w:color w:val="auto"/>
            <w:sz w:val="21"/>
            <w:u w:val="single"/>
            <w:vertAlign w:val="superscript"/>
          </w:rPr>
          <w:t>[11]</w:t>
        </w:r>
      </w:hyperlink>
    </w:p>
    <w:p>
      <w:pPr>
        <w:pStyle w:val="Normal"/>
        <w:spacing w:lineRule="auto" w:line="360" w:before="315" w:after="105"/>
        <w:ind w:left="-30"/>
        <w:jc w:val="left"/>
        <w:rPr/>
      </w:pPr>
      <w:bookmarkStart w:id="68" w:name="сравнительная_таблица"/>
      <w:r>
        <w:rPr>
          <w:rFonts w:eastAsia="source serif 4" w:cs="source serif 4" w:ascii="source serif 4" w:hAnsi="source serif 4"/>
          <w:b/>
          <w:color w:val="000000"/>
          <w:sz w:val="24"/>
        </w:rPr>
        <w:t>Сравнительная таблица</w:t>
      </w:r>
      <w:bookmarkEnd w:id="68"/>
    </w:p>
    <w:tbl>
      <w:tblPr>
        <w:tblStyle w:val="TableGrid"/>
        <w:tblW w:w="951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</w:tblGrid>
      <w:tr>
        <w:trPr>
          <w:cantSplit w:val="true"/>
        </w:trPr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Модель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Открытость архитектуры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Весы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Документация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Обучение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Токенизатор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Attention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Локальный запуск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Локальная модификация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Отключение/замена механизмов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Инструменты исследования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Воспроизводимость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Сообщество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Долговременная поддержка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Итог для стенда</w:t>
            </w:r>
          </w:p>
        </w:tc>
      </w:tr>
      <w:tr>
        <w:trPr>
          <w:cantSplit w:val="true"/>
        </w:trPr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OLMo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Очень 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Очень 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Очень 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Очень 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Да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Да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Да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Да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Очень 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Среднее/высокое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Лучший</w:t>
            </w:r>
          </w:p>
        </w:tc>
      </w:tr>
      <w:tr>
        <w:trPr>
          <w:cantSplit w:val="true"/>
        </w:trPr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Qwen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Средне-высокая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Да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Да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Частично/да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Да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Очень высокое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2 место</w:t>
            </w:r>
          </w:p>
        </w:tc>
      </w:tr>
      <w:tr>
        <w:trPr>
          <w:cantSplit w:val="true"/>
        </w:trPr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Llama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Средне-высокая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Средняя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Да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Да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Частично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Да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Средне-высокая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Очень высокое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Сильный универсал</w:t>
            </w:r>
          </w:p>
        </w:tc>
      </w:tr>
      <w:tr>
        <w:trPr>
          <w:cantSplit w:val="true"/>
        </w:trPr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Mistral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Средняя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Да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Да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Частично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Да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Средне-высокая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Высокое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Сильный выбор</w:t>
            </w:r>
          </w:p>
        </w:tc>
      </w:tr>
      <w:tr>
        <w:trPr>
          <w:cantSplit w:val="true"/>
        </w:trPr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Gemma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Средне-высокая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Средняя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Да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Да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Частично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Да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Средняя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Высокое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Хороший кандидат</w:t>
            </w:r>
          </w:p>
        </w:tc>
      </w:tr>
      <w:tr>
        <w:trPr>
          <w:cantSplit w:val="true"/>
        </w:trPr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Falcon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Средняя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Высокая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Средняя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Средняя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Средняя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Средняя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Да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Да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Частично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Частично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Средняя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Среднее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Средняя</w:t>
            </w: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source sans 3" w:cs="source sans 3" w:ascii="source sans 3" w:hAnsi="source sans 3"/>
                <w:color w:val="000000"/>
                <w:kern w:val="0"/>
                <w:sz w:val="17"/>
              </w:rPr>
              <w:t>Уже не лидер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69" w:name="итоговый_выбор"/>
      <w:r>
        <w:rPr>
          <w:rFonts w:eastAsia="source serif 4" w:cs="source serif 4" w:ascii="source serif 4" w:hAnsi="source serif 4"/>
          <w:b/>
          <w:color w:val="000000"/>
          <w:sz w:val="24"/>
        </w:rPr>
        <w:t>Итоговый выбор</w:t>
      </w:r>
      <w:bookmarkEnd w:id="69"/>
    </w:p>
    <w:p>
      <w:pPr>
        <w:pStyle w:val="Normal"/>
        <w:spacing w:lineRule="auto" w:line="360" w:before="315" w:after="105"/>
        <w:ind w:left="-30"/>
        <w:jc w:val="left"/>
        <w:rPr/>
      </w:pPr>
      <w:bookmarkStart w:id="70" w:name="bm_1_какая_модель_наиболее_подходит"/>
      <w:r>
        <w:rPr>
          <w:rFonts w:eastAsia="source serif 4" w:cs="source serif 4" w:ascii="source serif 4" w:hAnsi="source serif 4"/>
          <w:b/>
          <w:color w:val="000000"/>
          <w:sz w:val="24"/>
        </w:rPr>
        <w:t>1. Какая модель наиболее подходит?</w:t>
      </w:r>
      <w:bookmarkEnd w:id="70"/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OLMo</w:t>
      </w:r>
      <w:r>
        <w:rPr>
          <w:rFonts w:eastAsia="source serif 4" w:cs="source serif 4" w:ascii="source serif 4" w:hAnsi="source serif 4"/>
          <w:color w:val="000000"/>
        </w:rPr>
        <w:t>.</w:t>
      </w:r>
      <w:hyperlink w:anchor="fn1">
        <w:bookmarkStart w:id="71" w:name="fnref1_5"/>
        <w:bookmarkEnd w:id="71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[1]</w:t>
        </w:r>
      </w:hyperlink>
      <w:hyperlink w:anchor="fn3">
        <w:bookmarkStart w:id="72" w:name="fnref3_6"/>
        <w:bookmarkEnd w:id="72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[3]</w:t>
        </w:r>
      </w:hyperlink>
      <w:hyperlink w:anchor="fn4">
        <w:bookmarkStart w:id="73" w:name="fnref4_5"/>
        <w:bookmarkEnd w:id="73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[4]</w:t>
        </w:r>
      </w:hyperlink>
    </w:p>
    <w:p>
      <w:pPr>
        <w:pStyle w:val="Normal"/>
        <w:spacing w:lineRule="auto" w:line="360" w:before="315" w:after="105"/>
        <w:ind w:left="-30"/>
        <w:jc w:val="left"/>
        <w:rPr/>
      </w:pPr>
      <w:bookmarkStart w:id="74" w:name="bm_2_почему_именно_она"/>
      <w:r>
        <w:rPr>
          <w:rFonts w:eastAsia="source serif 4" w:cs="source serif 4" w:ascii="source serif 4" w:hAnsi="source serif 4"/>
          <w:b/>
          <w:color w:val="000000"/>
          <w:sz w:val="24"/>
        </w:rPr>
        <w:t>2. Почему именно она?</w:t>
      </w:r>
      <w:bookmarkEnd w:id="74"/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color w:val="000000"/>
        </w:rPr>
        <w:t xml:space="preserve">Потому что для экспериментального стенда критичны не только веса и архитектура, но и доступ к </w:t>
      </w:r>
      <w:r>
        <w:rPr>
          <w:rFonts w:eastAsia="source serif 4" w:cs="source serif 4" w:ascii="source serif 4" w:hAnsi="source serif 4"/>
          <w:b/>
          <w:color w:val="000000"/>
        </w:rPr>
        <w:t>полной исследовательской трассе</w:t>
      </w:r>
      <w:r>
        <w:rPr>
          <w:rFonts w:eastAsia="source serif 4" w:cs="source serif 4" w:ascii="source serif 4" w:hAnsi="source serif 4"/>
          <w:color w:val="000000"/>
        </w:rPr>
        <w:t>: данные, чекпойнты, логи, codebase, детали обучения и возможность воспроизводить/менять отдельные стадии. OLMo ближе всех к идее “лабораторного объекта”, а не просто “доступной модели”.</w:t>
      </w:r>
      <w:hyperlink w:anchor="fn3">
        <w:bookmarkStart w:id="75" w:name="fnref3_7"/>
        <w:bookmarkEnd w:id="75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[3]</w:t>
        </w:r>
      </w:hyperlink>
      <w:hyperlink w:anchor="fn4">
        <w:bookmarkStart w:id="76" w:name="fnref4_6"/>
        <w:bookmarkEnd w:id="76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[4]</w:t>
        </w:r>
      </w:hyperlink>
      <w:hyperlink w:anchor="fn1">
        <w:bookmarkStart w:id="77" w:name="fnref1_6"/>
        <w:bookmarkEnd w:id="77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[1]</w:t>
        </w:r>
      </w:hyperlink>
    </w:p>
    <w:p>
      <w:pPr>
        <w:pStyle w:val="Normal"/>
        <w:spacing w:lineRule="auto" w:line="360" w:before="315" w:after="105"/>
        <w:ind w:left="-30"/>
        <w:jc w:val="left"/>
        <w:rPr/>
      </w:pPr>
      <w:bookmarkStart w:id="78" w:name="bm_3_кто_на_втором_месте"/>
      <w:r>
        <w:rPr>
          <w:rFonts w:eastAsia="source serif 4" w:cs="source serif 4" w:ascii="source serif 4" w:hAnsi="source serif 4"/>
          <w:b/>
          <w:color w:val="000000"/>
          <w:sz w:val="24"/>
        </w:rPr>
        <w:t>3. Кто на втором месте?</w:t>
      </w:r>
      <w:bookmarkEnd w:id="78"/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b/>
          <w:color w:val="000000"/>
        </w:rPr>
        <w:t>Qwen</w:t>
      </w:r>
      <w:r>
        <w:rPr>
          <w:rFonts w:eastAsia="source serif 4" w:cs="source serif 4" w:ascii="source serif 4" w:hAnsi="source serif 4"/>
          <w:color w:val="000000"/>
        </w:rPr>
        <w:t>. Он очень силён по инженерной пригодности, зрелости и практичности, но уступает OLMo по степени раскрытия полного жизненного цикла модели.</w:t>
      </w:r>
      <w:hyperlink w:anchor="fn5">
        <w:bookmarkStart w:id="79" w:name="fnref5_4"/>
        <w:bookmarkEnd w:id="79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[5]</w:t>
        </w:r>
      </w:hyperlink>
      <w:hyperlink w:anchor="fn6">
        <w:bookmarkStart w:id="80" w:name="fnref6_3"/>
        <w:bookmarkEnd w:id="80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[6]</w:t>
        </w:r>
      </w:hyperlink>
      <w:hyperlink w:anchor="fn2">
        <w:bookmarkStart w:id="81" w:name="fnref2_5"/>
        <w:bookmarkEnd w:id="81"/>
        <w:r>
          <w:rPr>
            <w:rStyle w:val="Style9"/>
            <w:rFonts w:eastAsia="source sans 3" w:cs="source sans 3" w:ascii="source sans 3" w:hAnsi="source sans 3"/>
            <w:color w:val="auto"/>
            <w:u w:val="single"/>
            <w:vertAlign w:val="superscript"/>
          </w:rPr>
          <w:t>[2]</w:t>
        </w:r>
      </w:hyperlink>
    </w:p>
    <w:p>
      <w:pPr>
        <w:pStyle w:val="Normal"/>
        <w:spacing w:lineRule="auto" w:line="360" w:before="315" w:after="105"/>
        <w:ind w:left="-30"/>
        <w:jc w:val="left"/>
        <w:rPr/>
      </w:pPr>
      <w:bookmarkStart w:id="82" w:name="bm_4_каких_критериев_не_хватает"/>
      <w:r>
        <w:rPr>
          <w:rFonts w:eastAsia="source serif 4" w:cs="source serif 4" w:ascii="source serif 4" w:hAnsi="source serif 4"/>
          <w:b/>
          <w:color w:val="000000"/>
          <w:sz w:val="24"/>
        </w:rPr>
        <w:t>4. Каких критериев не хватает?</w:t>
      </w:r>
      <w:bookmarkEnd w:id="82"/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color w:val="000000"/>
        </w:rPr>
        <w:t>Я бы добавил:</w:t>
      </w:r>
    </w:p>
    <w:p>
      <w:pPr>
        <w:pStyle w:val="Normal"/>
        <w:numPr>
          <w:ilvl w:val="0"/>
          <w:numId w:val="27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b/>
          <w:color w:val="000000"/>
          <w:sz w:val="21"/>
        </w:rPr>
        <w:t>Полнота release artifacts</w:t>
      </w:r>
      <w:r>
        <w:rPr>
          <w:rFonts w:eastAsia="source serif 4" w:cs="source serif 4" w:ascii="source serif 4" w:hAnsi="source serif 4"/>
          <w:color w:val="000000"/>
          <w:sz w:val="21"/>
        </w:rPr>
        <w:t>: логи, конфиги, seed’ы, скрипты запуска.</w:t>
      </w:r>
    </w:p>
    <w:p>
      <w:pPr>
        <w:pStyle w:val="Normal"/>
        <w:numPr>
          <w:ilvl w:val="0"/>
          <w:numId w:val="27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b/>
          <w:color w:val="000000"/>
          <w:sz w:val="21"/>
        </w:rPr>
        <w:t>Лицензионная свобода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для модификаций и публикации производных работ.</w:t>
      </w:r>
    </w:p>
    <w:p>
      <w:pPr>
        <w:pStyle w:val="Normal"/>
        <w:numPr>
          <w:ilvl w:val="0"/>
          <w:numId w:val="27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b/>
          <w:color w:val="000000"/>
          <w:sz w:val="21"/>
        </w:rPr>
        <w:t>Наличие промежуточных чекпойнтов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по стадиям обучения.</w:t>
      </w:r>
    </w:p>
    <w:p>
      <w:pPr>
        <w:pStyle w:val="Normal"/>
        <w:numPr>
          <w:ilvl w:val="0"/>
          <w:numId w:val="27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b/>
          <w:color w:val="000000"/>
          <w:sz w:val="21"/>
        </w:rPr>
        <w:t>Качество toolchain-интеграции</w:t>
      </w:r>
      <w:r>
        <w:rPr>
          <w:rFonts w:eastAsia="source serif 4" w:cs="source serif 4" w:ascii="source serif 4" w:hAnsi="source serif 4"/>
          <w:color w:val="000000"/>
          <w:sz w:val="21"/>
        </w:rPr>
        <w:t>: vLLM, llama.cpp, transformers, eval harness.</w:t>
      </w:r>
    </w:p>
    <w:p>
      <w:pPr>
        <w:pStyle w:val="Normal"/>
        <w:numPr>
          <w:ilvl w:val="0"/>
          <w:numId w:val="27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b/>
          <w:color w:val="000000"/>
          <w:sz w:val="21"/>
        </w:rPr>
        <w:t>Стабильность API/репозитория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во времени.</w:t>
      </w:r>
    </w:p>
    <w:p>
      <w:pPr>
        <w:pStyle w:val="Normal"/>
        <w:numPr>
          <w:ilvl w:val="0"/>
          <w:numId w:val="27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b/>
          <w:color w:val="000000"/>
          <w:sz w:val="21"/>
        </w:rPr>
        <w:t>Прозрачность данных</w:t>
      </w:r>
      <w:r>
        <w:rPr>
          <w:rFonts w:eastAsia="source serif 4" w:cs="source serif 4" w:ascii="source serif 4" w:hAnsi="source serif 4"/>
          <w:color w:val="000000"/>
          <w:sz w:val="21"/>
        </w:rPr>
        <w:t>: происхождение, фильтрация, дедупликация, доли доменов.</w:t>
      </w:r>
    </w:p>
    <w:p>
      <w:pPr>
        <w:pStyle w:val="Normal"/>
        <w:numPr>
          <w:ilvl w:val="0"/>
          <w:numId w:val="27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b/>
          <w:color w:val="000000"/>
          <w:sz w:val="21"/>
        </w:rPr>
        <w:t>Наличие абляционных примеров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от авторов.</w:t>
      </w:r>
    </w:p>
    <w:p>
      <w:pPr>
        <w:pStyle w:val="Normal"/>
        <w:numPr>
          <w:ilvl w:val="0"/>
          <w:numId w:val="27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b/>
          <w:color w:val="000000"/>
          <w:sz w:val="21"/>
        </w:rPr>
        <w:t>Порог воспроизводимости на одной машине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на кластере.</w:t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83" w:name="bm_5_какие_проблемы_возможны_в_долгую"/>
      <w:r>
        <w:rPr>
          <w:rFonts w:eastAsia="source serif 4" w:cs="source serif 4" w:ascii="source serif 4" w:hAnsi="source serif 4"/>
          <w:b/>
          <w:color w:val="000000"/>
          <w:sz w:val="24"/>
        </w:rPr>
        <w:t>5. Какие проблемы возможны в долгую?</w:t>
      </w:r>
      <w:bookmarkEnd w:id="83"/>
    </w:p>
    <w:p>
      <w:pPr>
        <w:pStyle w:val="Normal"/>
        <w:numPr>
          <w:ilvl w:val="0"/>
          <w:numId w:val="28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Документация и веса могут эволюционировать, и старые эксперименты станет труднее повторять.</w:t>
      </w:r>
    </w:p>
    <w:p>
      <w:pPr>
        <w:pStyle w:val="Normal"/>
        <w:numPr>
          <w:ilvl w:val="0"/>
          <w:numId w:val="28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Появится риск несовместимости с новыми библиотеками.</w:t>
      </w:r>
    </w:p>
    <w:p>
      <w:pPr>
        <w:pStyle w:val="Normal"/>
        <w:numPr>
          <w:ilvl w:val="0"/>
          <w:numId w:val="28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Даже у fully open-проектов может меняться состав артефактов и правила релиза.</w:t>
      </w:r>
    </w:p>
    <w:p>
      <w:pPr>
        <w:pStyle w:val="Normal"/>
        <w:numPr>
          <w:ilvl w:val="0"/>
          <w:numId w:val="28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Для MoE-моделей сложнее обеспечивать одинаковую воспроизводимость на разном железе.</w:t>
      </w:r>
    </w:p>
    <w:p>
      <w:pPr>
        <w:pStyle w:val="Normal"/>
        <w:numPr>
          <w:ilvl w:val="0"/>
          <w:numId w:val="28"/>
        </w:numPr>
        <w:spacing w:lineRule="auto" w:line="360" w:before="105" w:after="105"/>
        <w:rPr/>
      </w:pPr>
      <w:r>
        <w:rPr>
          <w:rFonts w:eastAsia="source serif 4" w:cs="source serif 4" w:ascii="source serif 4" w:hAnsi="source serif 4"/>
          <w:color w:val="000000"/>
          <w:sz w:val="21"/>
        </w:rPr>
        <w:t>Если стенд завязан на одну семью моделей, есть риск “архитектурной инерции”: сравнивать новые методы станет неудобно.</w:t>
      </w:r>
    </w:p>
    <w:p>
      <w:pPr>
        <w:pStyle w:val="Normal"/>
        <w:spacing w:lineRule="auto" w:line="360" w:before="0" w:after="210"/>
        <w:rPr/>
      </w:pPr>
      <w:r>
        <w:rPr>
          <w:rFonts w:eastAsia="source serif 4" w:cs="source serif 4" w:ascii="source serif 4" w:hAnsi="source serif 4"/>
          <w:color w:val="000000"/>
        </w:rPr>
        <w:t xml:space="preserve">Если хочешь, я могу следующим сообщением превратить это в </w:t>
      </w:r>
      <w:r>
        <w:rPr>
          <w:rFonts w:eastAsia="source serif 4" w:cs="source serif 4" w:ascii="source serif 4" w:hAnsi="source serif 4"/>
          <w:b/>
          <w:color w:val="000000"/>
        </w:rPr>
        <w:t>аккуратный исследовательский отчёт в стиле memo/white paper</w:t>
      </w:r>
      <w:r>
        <w:rPr>
          <w:rFonts w:eastAsia="source serif 4" w:cs="source serif 4" w:ascii="source serif 4" w:hAnsi="source serif 4"/>
          <w:color w:val="000000"/>
        </w:rPr>
        <w:t xml:space="preserve"> — без списков, с более строгим академическим тоном и готовой структурой для вставки в документ.</w:t>
        <w:br/>
      </w:r>
    </w:p>
    <w:p>
      <w:pPr>
        <w:pStyle w:val="Normal"/>
        <w:spacing w:lineRule="auto" w:line="360"/>
        <w:rPr/>
      </w:pPr>
      <w:r>
        <w:rPr>
          <w:rFonts w:eastAsia="source serif 4" w:cs="source serif 4" w:ascii="source serif 4" w:hAnsi="source serif 4"/>
          <w:color w:val="000000"/>
        </w:rPr>
        <w:t>⁂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  <w:bookmarkStart w:id="84" w:name="fn1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3">
        <w:bookmarkEnd w:id="84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https://allenai.org/olmo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      </w:t>
      </w:r>
      <w:bookmarkStart w:id="85" w:name="fn2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4">
        <w:bookmarkEnd w:id="85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https://arxiv.org/html/2505.09388v1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     </w:t>
      </w:r>
      <w:bookmarkStart w:id="86" w:name="fn3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5">
        <w:bookmarkEnd w:id="86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https://arxiv.org/abs/2512.13961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       </w:t>
      </w:r>
      <w:bookmarkStart w:id="87" w:name="fn4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6">
        <w:bookmarkEnd w:id="87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https://www.datocms-assets.com/64837/1765558567-olmo_3_technical_report-4.pdf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      </w:t>
      </w:r>
      <w:bookmarkStart w:id="88" w:name="fn5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7">
        <w:bookmarkEnd w:id="88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https://arxiv.org/pdf/2505.09388.pdf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    </w:t>
      </w:r>
      <w:bookmarkStart w:id="89" w:name="fn6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8">
        <w:bookmarkEnd w:id="89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https://qianwen-res.oss-cn-beijing.aliyuncs.com/QWEN_TECHNICAL_REPORT.pdf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   </w:t>
      </w:r>
      <w:bookmarkStart w:id="90" w:name="fn7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9">
        <w:bookmarkEnd w:id="90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https://github.com/meta-llama/llama-models/blob/main/models/llama3/MODEL_CARD.md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 </w:t>
      </w:r>
      <w:bookmarkStart w:id="91" w:name="fn8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10">
        <w:bookmarkEnd w:id="91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https://huggingface.co/docs/transformers/model_doc/llama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 </w:t>
      </w:r>
      <w:bookmarkStart w:id="92" w:name="fn9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11">
        <w:bookmarkEnd w:id="92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https://aiwiki.ai/wiki/llama_model_card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 </w:t>
      </w:r>
      <w:bookmarkStart w:id="93" w:name="fn10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12">
        <w:bookmarkEnd w:id="93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https://docs.mistral.ai/models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bookmarkStart w:id="94" w:name="fn11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13">
        <w:bookmarkEnd w:id="94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https://docs.mistral.ai/models/model-cards/mistral-large-3-25-12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  </w:t>
      </w:r>
      <w:bookmarkStart w:id="95" w:name="fn12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14">
        <w:bookmarkEnd w:id="95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https://mistral.ai/models/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 </w:t>
      </w:r>
      <w:bookmarkStart w:id="96" w:name="fn13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15">
        <w:bookmarkEnd w:id="96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https://huggingface.co/mistralai/Mistral-7B-Instruct-v0.3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 </w:t>
      </w:r>
      <w:bookmarkStart w:id="97" w:name="fn14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16">
        <w:bookmarkEnd w:id="97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https://ai.google.dev/gemma/docs/core/model_card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 </w:t>
      </w:r>
      <w:bookmarkStart w:id="98" w:name="fn15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17">
        <w:bookmarkEnd w:id="98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https://arxiv.org/pdf/2607.02770.pdf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 </w:t>
      </w:r>
      <w:bookmarkStart w:id="99" w:name="fn16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18">
        <w:bookmarkEnd w:id="99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https://arxiv.org/html/2607.02770v1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 </w:t>
      </w:r>
      <w:bookmarkStart w:id="100" w:name="fn17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19">
        <w:bookmarkEnd w:id="100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https://storage.googleapis.com/deepmind-media/gemma/Gemma3Report.pdf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 </w:t>
      </w:r>
      <w:bookmarkStart w:id="101" w:name="fn18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20">
        <w:bookmarkEnd w:id="101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https://arxiv.org/html/2407.14885v1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 </w:t>
      </w:r>
      <w:bookmarkStart w:id="102" w:name="fn19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21">
        <w:bookmarkEnd w:id="102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https://huggingface.co/tiiuae/falcon-11B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 </w:t>
      </w:r>
      <w:bookmarkStart w:id="103" w:name="fn20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22">
        <w:bookmarkEnd w:id="103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https://huggingface.co/docs/transformers/model_doc/falcon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 </w:t>
      </w:r>
      <w:bookmarkStart w:id="104" w:name="fn21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23">
        <w:bookmarkEnd w:id="104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https://apxml.com/models/falcon2-11b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 </w:t>
      </w:r>
      <w:bookmarkStart w:id="105" w:name="fn22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24">
        <w:bookmarkEnd w:id="105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https://dev.to/jangwook_kim_e31e7291ad98/mistral-large-3-the-675b-open-weight-moe-model-developer-guide-250a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bookmarkStart w:id="106" w:name="fn23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25">
        <w:bookmarkEnd w:id="106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https://nlp.stanford.edu/mistral/getting_started.html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bookmarkStart w:id="107" w:name="fn24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26">
        <w:bookmarkEnd w:id="107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https://github.com/QwenLM/Qwen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bookmarkStart w:id="108" w:name="fn25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27">
        <w:bookmarkEnd w:id="108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https://huggingface.co/allenai/Olmo-3.1-32B-Instruct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bookmarkStart w:id="109" w:name="fn26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28">
        <w:bookmarkEnd w:id="109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https://huggingface.co/Qwen/Qwen3-235B-A22B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bookmarkStart w:id="110" w:name="fn27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29">
        <w:bookmarkEnd w:id="110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https://github.com/Meta-Llama/llama/blob/main/MODEL_CARD.md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bookmarkStart w:id="111" w:name="fn28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30">
        <w:bookmarkEnd w:id="111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https://github.com/huggingface/blog/blob/main/falcon2-11b.md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bookmarkStart w:id="112" w:name="fn29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31">
        <w:bookmarkEnd w:id="112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https://karam-nus.github.io/models/04_Gemma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bookmarkStart w:id="113" w:name="fn30"/>
    </w:p>
    <w:p>
      <w:pPr>
        <w:pStyle w:val="Normal"/>
        <w:numPr>
          <w:ilvl w:val="0"/>
          <w:numId w:val="29"/>
        </w:numPr>
        <w:spacing w:lineRule="auto" w:line="360" w:before="0" w:after="210"/>
        <w:rPr/>
      </w:pPr>
      <w:hyperlink r:id="rId32">
        <w:bookmarkEnd w:id="113"/>
        <w:r>
          <w:rPr>
            <w:rStyle w:val="Style9"/>
            <w:rFonts w:eastAsia="source sans 3" w:cs="source sans 3" w:ascii="source sans 3" w:hAnsi="source sans 3"/>
            <w:color w:val="auto"/>
            <w:sz w:val="18"/>
            <w:u w:val="single"/>
          </w:rPr>
          <w:t>https://gemma-llm.readthedocs.io/en/latest/colab_tokenizer.html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sectPr>
      <w:type w:val="nextPage"/>
      <w:pgSz w:w="12240" w:h="15840"/>
      <w:pgMar w:left="1365" w:right="1365" w:gutter="0" w:header="0" w:top="1365" w:footer="0" w:bottom="136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Georgia">
    <w:charset w:val="cc"/>
    <w:family w:val="roman"/>
    <w:pitch w:val="variable"/>
  </w:font>
  <w:font w:name="Consolas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source serif 4">
    <w:charset w:val="cc"/>
    <w:family w:val="roman"/>
    <w:pitch w:val="variable"/>
  </w:font>
  <w:font w:name="source sans 3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" w:cs="" w:cstheme="minorBidi" w:eastAsiaTheme="minorHAnsi" w:hAnsiTheme="minorHAnsi"/>
        <w:sz w:val="21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tLeast" w:line="240" w:before="0" w:after="120"/>
      <w:jc w:val="left"/>
    </w:pPr>
    <w:rPr>
      <w:rFonts w:ascii="Georgia" w:hAnsi="Georgia" w:eastAsia="" w:cs="" w:cstheme="minorBidi" w:eastAsiaTheme="minorHAnsi" w:hAnsiTheme="minorHAnsi"/>
      <w:color w:val="auto"/>
      <w:kern w:val="0"/>
      <w:sz w:val="21"/>
      <w:szCs w:val="22"/>
      <w:lang w:val="ru-RU" w:eastAsia="en-US" w:bidi="ar-SA"/>
    </w:rPr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table" w:default="1" w:styleId="TableNormal">
    <w:name w:val="Normal Table"/>
    <w:uiPriority w:val="99"/>
    <w:semiHidden/>
    <w:unhideWhenUsed/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allenai.org/olmo" TargetMode="External"/><Relationship Id="rId4" Type="http://schemas.openxmlformats.org/officeDocument/2006/relationships/hyperlink" Target="https://arxiv.org/html/2505.09388v1" TargetMode="External"/><Relationship Id="rId5" Type="http://schemas.openxmlformats.org/officeDocument/2006/relationships/hyperlink" Target="https://arxiv.org/abs/2512.13961" TargetMode="External"/><Relationship Id="rId6" Type="http://schemas.openxmlformats.org/officeDocument/2006/relationships/hyperlink" Target="https://www.datocms-assets.com/64837/1765558567-olmo_3_technical_report-4.pdf" TargetMode="External"/><Relationship Id="rId7" Type="http://schemas.openxmlformats.org/officeDocument/2006/relationships/hyperlink" Target="https://arxiv.org/pdf/2505.09388.pdf" TargetMode="External"/><Relationship Id="rId8" Type="http://schemas.openxmlformats.org/officeDocument/2006/relationships/hyperlink" Target="https://qianwen-res.oss-cn-beijing.aliyuncs.com/QWEN_TECHNICAL_REPORT.pdf" TargetMode="External"/><Relationship Id="rId9" Type="http://schemas.openxmlformats.org/officeDocument/2006/relationships/hyperlink" Target="https://github.com/meta-llama/llama-models/blob/main/models/llama3/MODEL_CARD.md" TargetMode="External"/><Relationship Id="rId10" Type="http://schemas.openxmlformats.org/officeDocument/2006/relationships/hyperlink" Target="https://huggingface.co/docs/transformers/model_doc/llama" TargetMode="External"/><Relationship Id="rId11" Type="http://schemas.openxmlformats.org/officeDocument/2006/relationships/hyperlink" Target="https://aiwiki.ai/wiki/llama_model_card" TargetMode="External"/><Relationship Id="rId12" Type="http://schemas.openxmlformats.org/officeDocument/2006/relationships/hyperlink" Target="https://docs.mistral.ai/models" TargetMode="External"/><Relationship Id="rId13" Type="http://schemas.openxmlformats.org/officeDocument/2006/relationships/hyperlink" Target="https://docs.mistral.ai/models/model-cards/mistral-large-3-25-12" TargetMode="External"/><Relationship Id="rId14" Type="http://schemas.openxmlformats.org/officeDocument/2006/relationships/hyperlink" Target="https://mistral.ai/models/" TargetMode="External"/><Relationship Id="rId15" Type="http://schemas.openxmlformats.org/officeDocument/2006/relationships/hyperlink" Target="https://huggingface.co/mistralai/Mistral-7B-Instruct-v0.3" TargetMode="External"/><Relationship Id="rId16" Type="http://schemas.openxmlformats.org/officeDocument/2006/relationships/hyperlink" Target="https://ai.google.dev/gemma/docs/core/model_card" TargetMode="External"/><Relationship Id="rId17" Type="http://schemas.openxmlformats.org/officeDocument/2006/relationships/hyperlink" Target="https://arxiv.org/pdf/2607.02770.pdf" TargetMode="External"/><Relationship Id="rId18" Type="http://schemas.openxmlformats.org/officeDocument/2006/relationships/hyperlink" Target="https://arxiv.org/html/2607.02770v1" TargetMode="External"/><Relationship Id="rId19" Type="http://schemas.openxmlformats.org/officeDocument/2006/relationships/hyperlink" Target="https://storage.googleapis.com/deepmind-media/gemma/Gemma3Report.pdf" TargetMode="External"/><Relationship Id="rId20" Type="http://schemas.openxmlformats.org/officeDocument/2006/relationships/hyperlink" Target="https://arxiv.org/html/2407.14885v1" TargetMode="External"/><Relationship Id="rId21" Type="http://schemas.openxmlformats.org/officeDocument/2006/relationships/hyperlink" Target="https://huggingface.co/tiiuae/falcon-11B" TargetMode="External"/><Relationship Id="rId22" Type="http://schemas.openxmlformats.org/officeDocument/2006/relationships/hyperlink" Target="https://huggingface.co/docs/transformers/model_doc/falcon" TargetMode="External"/><Relationship Id="rId23" Type="http://schemas.openxmlformats.org/officeDocument/2006/relationships/hyperlink" Target="https://apxml.com/models/falcon2-11b" TargetMode="External"/><Relationship Id="rId24" Type="http://schemas.openxmlformats.org/officeDocument/2006/relationships/hyperlink" Target="https://dev.to/jangwook_kim_e31e7291ad98/mistral-large-3-the-675b-open-weight-moe-model-developer-guide-250a" TargetMode="External"/><Relationship Id="rId25" Type="http://schemas.openxmlformats.org/officeDocument/2006/relationships/hyperlink" Target="https://nlp.stanford.edu/mistral/getting_started.html" TargetMode="External"/><Relationship Id="rId26" Type="http://schemas.openxmlformats.org/officeDocument/2006/relationships/hyperlink" Target="https://github.com/QwenLM/Qwen" TargetMode="External"/><Relationship Id="rId27" Type="http://schemas.openxmlformats.org/officeDocument/2006/relationships/hyperlink" Target="https://huggingface.co/allenai/Olmo-3.1-32B-Instruct" TargetMode="External"/><Relationship Id="rId28" Type="http://schemas.openxmlformats.org/officeDocument/2006/relationships/hyperlink" Target="https://huggingface.co/Qwen/Qwen3-235B-A22B" TargetMode="External"/><Relationship Id="rId29" Type="http://schemas.openxmlformats.org/officeDocument/2006/relationships/hyperlink" Target="https://github.com/Meta-Llama/llama/blob/main/MODEL_CARD.md" TargetMode="External"/><Relationship Id="rId30" Type="http://schemas.openxmlformats.org/officeDocument/2006/relationships/hyperlink" Target="https://github.com/huggingface/blog/blob/main/falcon2-11b.md" TargetMode="External"/><Relationship Id="rId31" Type="http://schemas.openxmlformats.org/officeDocument/2006/relationships/hyperlink" Target="https://karam-nus.github.io/models/04_Gemma" TargetMode="External"/><Relationship Id="rId32" Type="http://schemas.openxmlformats.org/officeDocument/2006/relationships/hyperlink" Target="https://gemma-llm.readthedocs.io/en/latest/colab_tokenizer.html" TargetMode="External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10</Pages>
  <Words>1365</Words>
  <Characters>10270</Characters>
  <CharactersWithSpaces>11321</CharactersWithSpaces>
  <Paragraphs>285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2026-07-29T10:28:03Z</dcterms:created>
  <dc:creator>html-to-docx</dc:creator>
  <dc:description/>
  <cp:keywords>html-to-docx</cp:keywords>
  <dc:language>ru-RU</dc:language>
  <cp:lastModifiedBy/>
  <dcterms:modified xsi:type="dcterms:W3CDTF">2026-07-29T17:34:40Z</dcterms:modified>
  <cp:revision>2</cp:revision>
  <dc:subject/>
  <dc:title/>
</cp:coreProperties>
</file>