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6"/>
          <w:szCs w:val="36"/>
        </w:rPr>
        <w:t xml:space="preserve">BỘ TÀI LIỆU GIẢI TRÌNH &amp; TRẢ LỜI NHẬN XÉT HỘI ĐỒNG</w:t>
      </w:r>
    </w:p>
    <w:p>
      <w:pPr>
        <w:spacing w:after="400"/>
        <w:jc w:val="center"/>
      </w:pPr>
      <w:r>
        <w:rPr>
          <w:rFonts w:ascii="Calibri" w:cs="Calibri" w:eastAsia="Calibri" w:hAnsi="Calibri"/>
          <w:b/>
          <w:bCs/>
          <w:color w:val="64748B"/>
          <w:sz w:val="24"/>
          <w:szCs w:val="24"/>
        </w:rPr>
        <w:t xml:space="preserve">DỰ ÁN: ENGLISHLAB - NỀN TẢNG ĐÀO TẠO &amp; LUYỆN THI TIẾNG ANH ĐA PHƯƠNG THỨC</w:t>
      </w:r>
    </w:p>
    <w:p>
      <w:pPr>
        <w:spacing w:after="300"/>
      </w:pPr>
      <w:r>
        <w:rPr>
          <w:i/>
          <w:iCs/>
          <w:color w:val="475569"/>
        </w:rPr>
        <w:t xml:space="preserve">Tài liệu này tổng hợp toàn bộ cơ sở lý luận, mô hình khảo sát thực tế và các dẫn chứng kỹ thuật trực tiếp từ mã nguồn đã hiện thực hóa của dự án EnglishLab nhằm giải trình chi tiết từng nhận xét của Hội đồng chuyên môn.</w:t>
      </w:r>
    </w:p>
    <w:p>
      <w:pPr>
        <w:pStyle w:val="Heading1"/>
        <w:spacing w:after="150" w:before="300"/>
      </w:pPr>
      <w:r>
        <w:rPr>
          <w:b/>
          <w:bCs/>
          <w:color w:val="1E3A8A"/>
          <w:sz w:val="28"/>
          <w:szCs w:val="28"/>
        </w:rPr>
        <w:t xml:space="preserve">1. Khảo sát mô hình trung tâm &amp; Nghiệp vụ đặc trưng cho Tiếng Anh / IELTS</w:t>
      </w:r>
    </w:p>
    <w:tbl>
      <w:tblPr>
        <w:tblW w:type="pct" w:w="100%"/>
        <w:tblBorders>
          <w:top w:val="none" w:color="auto" w:sz="0"/>
          <w:left w:val="single" w:color="B91C1C" w:sz="24"/>
          <w:bottom w:val="none" w:color="auto" w:sz="0"/>
          <w:right w:val="none" w:color="auto" w:sz="0"/>
          <w:insideH w:val="single" w:color="auto" w:sz="4"/>
          <w:insideV w:val="single" w:color="auto" w:sz="4"/>
        </w:tblBorders>
      </w:tblPr>
      <w:tblGrid>
        <w:gridCol w:w="100"/>
      </w:tblGrid>
      <w:tr>
        <w:tc>
          <w:tcPr>
            <w:shd w:fill="FEF2F2" w:val="clear"/>
            <w:tcMar>
              <w:top w:type="dxa" w:w="120"/>
              <w:left w:type="dxa" w:w="180"/>
              <w:bottom w:type="dxa" w:w="120"/>
              <w:right w:type="dxa" w:w="180"/>
            </w:tcMar>
          </w:tcPr>
          <w:p>
            <w:r>
              <w:rPr>
                <w:rFonts w:ascii="Calibri" w:cs="Calibri" w:eastAsia="Calibri" w:hAnsi="Calibri"/>
                <w:b/>
                <w:bCs/>
                <w:color w:val="B91C1C"/>
                <w:sz w:val="22"/>
                <w:szCs w:val="22"/>
              </w:rPr>
              <w:t xml:space="preserve">Nhận xét của Hội đồng: </w:t>
            </w:r>
            <w:r>
              <w:rPr>
                <w:rFonts w:ascii="Calibri" w:cs="Calibri" w:eastAsia="Calibri" w:hAnsi="Calibri"/>
                <w:i/>
                <w:iCs/>
                <w:color w:val="334155"/>
                <w:sz w:val="22"/>
                <w:szCs w:val="22"/>
              </w:rPr>
              <w:t xml:space="preserve">"Nhóm chưa khảo sát một mô hình của một trung tâm dạy tiếng anh cụ thể để tìm hiểu nghiệp vụ nên chưa có những nghiệp vụ đặc trưng cho việc học và luyện thi IELTS. Những nghiệp vụ nhóm phát biểu cũng chưa đủ sâu và có thể áp dụng được cho nhiều môn học chứ ko chỉ riêng tiếng anh."</w:t>
            </w:r>
          </w:p>
        </w:tc>
      </w:tr>
    </w:tbl>
    <w:p>
      <w:pPr>
        <w:spacing w:after="80" w:before="150"/>
      </w:pPr>
      <w:r>
        <w:rPr>
          <w:b/>
          <w:bCs/>
          <w:color w:val="1E3A8A"/>
        </w:rPr>
        <w:t xml:space="preserve">A. Mô hình khảo sát thực tế:</w:t>
      </w:r>
    </w:p>
    <w:p>
      <w:pPr>
        <w:pStyle w:val="ListParagraph"/>
        <w:numPr>
          <w:ilvl w:val="0"/>
          <w:numId w:val="1"/>
        </w:numPr>
      </w:pPr>
      <w:r>
        <w:t xml:space="preserve">Nhóm đã khảo sát mô hình đào tạo </w:t>
      </w:r>
      <w:r>
        <w:rPr>
          <w:b/>
          <w:bCs/>
        </w:rPr>
        <w:t xml:space="preserve">Blended Learning &amp; Hybrid Coaching</w:t>
      </w:r>
      <w:r>
        <w:t xml:space="preserve"> tại các trung tâm Anh ngữ lớn tại Việt Nam (The IELTS Workshop, IELTS Fighter, VUS). Mô hình học Tiếng Anh/IELTS khác biệt hoàn toàn với LMS các môn học đại trà (Toán, Lý, Hóa) ở chu trình đào tạo khép kín: </w:t>
      </w:r>
      <w:r>
        <w:rPr>
          <w:i/>
          <w:iCs/>
        </w:rPr>
        <w:t xml:space="preserve">Placement Test (Đánh giá năng lực) → Phân cấp Band &amp; Lộ trình → Học kiến thức &amp; Từ vựng theo ngữ cảnh (Spaced Repetition) → Luyện 4 kỹ năng (Nghe, Đọc, Viết, Nói) → Chấm chữa đa tiêu chí Rubric chuẩn quốc tế → Thi thử Mock Test định kỳ.</w:t>
      </w:r>
    </w:p>
    <w:p>
      <w:pPr>
        <w:spacing w:after="80" w:before="150"/>
      </w:pPr>
      <w:r>
        <w:rPr>
          <w:b/>
          <w:bCs/>
          <w:color w:val="1E3A8A"/>
        </w:rPr>
        <w:t xml:space="preserve">B. Nghiệp vụ đặc thù Tiếng Anh đã được hiện thực hóa trong Code:</w:t>
      </w:r>
    </w:p>
    <w:p>
      <w:pPr>
        <w:pStyle w:val="ListParagraph"/>
        <w:numPr>
          <w:ilvl w:val="0"/>
          <w:numId w:val="1"/>
        </w:numPr>
      </w:pPr>
      <w:r>
        <w:rPr>
          <w:b/>
          <w:bCs/>
        </w:rPr>
        <w:t xml:space="preserve">Chuẩn hóa thang điểm IELTS 9.0 (IeltsBandScale.java): </w:t>
      </w:r>
      <w:r>
        <w:t xml:space="preserve">Xử lý quy tắc làm tròn điểm bước nhảy 0.5 (ví dụ 6.25 → 6.5, 6.75 → 7.0), giới hạn điểm trần (Score Cap 9.0) và tính toán điểm sàn đạt yêu cầu (Passing Threshold) theo chuẩn kỳ thi IELTS quốc tế.</w:t>
      </w:r>
    </w:p>
    <w:p>
      <w:pPr>
        <w:pStyle w:val="ListParagraph"/>
        <w:numPr>
          <w:ilvl w:val="0"/>
          <w:numId w:val="1"/>
        </w:numPr>
      </w:pPr>
      <w:r>
        <w:rPr>
          <w:b/>
          <w:bCs/>
        </w:rPr>
        <w:t xml:space="preserve">Bộ tiêu chí chấm Rubric 4 chuẩn IELTS (AssessmentRubric, RubricCriterion): </w:t>
      </w:r>
      <w:r>
        <w:t xml:space="preserve">Hệ thống hỗ trợ chấm bài Writing và Speaking độc lập theo 4 tiêu chí cốt lõi của kỳ thi IELTS: Task Achievement / Response (TA/TR), Coherence &amp; Cohesion (CC), Lexical Resource (LR), và Grammatical Range &amp; Accuracy (GRA).</w:t>
      </w:r>
    </w:p>
    <w:p>
      <w:pPr>
        <w:pStyle w:val="ListParagraph"/>
        <w:numPr>
          <w:ilvl w:val="0"/>
          <w:numId w:val="1"/>
        </w:numPr>
      </w:pPr>
      <w:r>
        <w:rPr>
          <w:b/>
          <w:bCs/>
        </w:rPr>
        <w:t xml:space="preserve">Đánh giá phát âm &amp; chấm bài nói qua AI (AiAssessmentService, AssessmentAudioStorageService): </w:t>
      </w:r>
      <w:r>
        <w:t xml:space="preserve">Học viên có thể thu âm bài nói (Speaking), hệ thống lưu trữ audio an toàn và tích hợp AI (Gemini / OpenAI) để phân tích ngữ điệu, từ vựng và chấm band điểm ước lượng (ESTIMATED_BAND).</w:t>
      </w:r>
    </w:p>
    <w:p>
      <w:pPr>
        <w:pStyle w:val="ListParagraph"/>
        <w:numPr>
          <w:ilvl w:val="0"/>
          <w:numId w:val="1"/>
        </w:numPr>
      </w:pPr>
      <w:r>
        <w:rPr>
          <w:b/>
          <w:bCs/>
        </w:rPr>
        <w:t xml:space="preserve">Hệ thống sổ từ vựng &amp; Flashcards Spaced Repetition (SavedVocabulary, VocabularyProgress): </w:t>
      </w:r>
      <w:r>
        <w:t xml:space="preserve">Cho phép học viên lưu từ vựng trực tiếp khi đang học bài, tra từ điển tích hợp và ôn tập lặp lại ngắt quãng để tối ưu hóa khả năng ghi nhớ từ vựng học thuật.</w:t>
      </w:r>
    </w:p>
    <w:p>
      <w:pPr>
        <w:pStyle w:val="Heading1"/>
        <w:spacing w:after="150" w:before="400"/>
      </w:pPr>
      <w:r>
        <w:rPr>
          <w:b/>
          <w:bCs/>
          <w:color w:val="1E3A8A"/>
          <w:sz w:val="28"/>
          <w:szCs w:val="28"/>
        </w:rPr>
        <w:t xml:space="preserve">2. Về việc phân bổ Khóa học IELTS/TOEIC và Phần luyện thi</w:t>
      </w:r>
    </w:p>
    <w:tbl>
      <w:tblPr>
        <w:tblW w:type="pct" w:w="100%"/>
        <w:tblBorders>
          <w:top w:val="none" w:color="auto" w:sz="0"/>
          <w:left w:val="single" w:color="B91C1C" w:sz="24"/>
          <w:bottom w:val="none" w:color="auto" w:sz="0"/>
          <w:right w:val="none" w:color="auto" w:sz="0"/>
          <w:insideH w:val="single" w:color="auto" w:sz="4"/>
          <w:insideV w:val="single" w:color="auto" w:sz="4"/>
        </w:tblBorders>
      </w:tblPr>
      <w:tblGrid>
        <w:gridCol w:w="100"/>
      </w:tblGrid>
      <w:tr>
        <w:tc>
          <w:tcPr>
            <w:shd w:fill="FEF2F2" w:val="clear"/>
            <w:tcMar>
              <w:top w:type="dxa" w:w="120"/>
              <w:left w:type="dxa" w:w="180"/>
              <w:bottom w:type="dxa" w:w="120"/>
              <w:right w:type="dxa" w:w="180"/>
            </w:tcMar>
          </w:tcPr>
          <w:p>
            <w:r>
              <w:rPr>
                <w:rFonts w:ascii="Calibri" w:cs="Calibri" w:eastAsia="Calibri" w:hAnsi="Calibri"/>
                <w:b/>
                <w:bCs/>
                <w:color w:val="B91C1C"/>
                <w:sz w:val="22"/>
                <w:szCs w:val="22"/>
              </w:rPr>
              <w:t xml:space="preserve">Nhận xét của Hội đồng: </w:t>
            </w:r>
            <w:r>
              <w:rPr>
                <w:rFonts w:ascii="Calibri" w:cs="Calibri" w:eastAsia="Calibri" w:hAnsi="Calibri"/>
                <w:i/>
                <w:iCs/>
                <w:color w:val="334155"/>
                <w:sz w:val="22"/>
                <w:szCs w:val="22"/>
              </w:rPr>
              <w:t xml:space="preserve">"Các khóa học nhóm mong muốn thiết kế cho thi IELTS hoặc TOEIC nhg phần luyện thi lại chỉ có bài thi thiết kế cho thi IELTS."</w:t>
            </w:r>
          </w:p>
        </w:tc>
      </w:tr>
    </w:tbl>
    <w:p>
      <w:pPr>
        <w:spacing w:after="80" w:before="150"/>
      </w:pPr>
      <w:r>
        <w:rPr>
          <w:b/>
          <w:bCs/>
          <w:color w:val="1E3A8A"/>
        </w:rPr>
        <w:t xml:space="preserve">Giải trình &amp; Dẫn chứng:</w:t>
      </w:r>
    </w:p>
    <w:p>
      <w:pPr>
        <w:pStyle w:val="ListParagraph"/>
        <w:numPr>
          <w:ilvl w:val="0"/>
          <w:numId w:val="1"/>
        </w:numPr>
      </w:pPr>
      <w:r>
        <w:rPr>
          <w:b/>
          <w:bCs/>
        </w:rPr>
        <w:t xml:space="preserve">Chiến lược tập trung chuyên sâu (Vertical Focus): </w:t>
      </w:r>
      <w:r>
        <w:t xml:space="preserve">Trong phạm vi đồ án, nhóm ưu tiên triển khai toàn diện bài thi IELTS trước vì đây là định dạng bài thi có độ phức tạp cao nhất (đầy đủ 4 kỹ năng Nghe - Đọc - Viết - Nói, kết hợp chấm khách quan trắc nghiệm và chấm chủ quan theo Rubric/Audio).</w:t>
      </w:r>
    </w:p>
    <w:p>
      <w:pPr>
        <w:pStyle w:val="ListParagraph"/>
        <w:numPr>
          <w:ilvl w:val="0"/>
          <w:numId w:val="1"/>
        </w:numPr>
      </w:pPr>
      <w:r>
        <w:rPr>
          <w:b/>
          <w:bCs/>
        </w:rPr>
        <w:t xml:space="preserve">Kiến trúc dữ liệu cởi mở sẵn sàng cho TOEIC: </w:t>
      </w:r>
      <w:r>
        <w:t xml:space="preserve">Hệ thống ngân hàng câu hỏi (ExerciseBankItem, AssessmentBankItem) và bộ chấm điểm trắc nghiệm tự động (ClassroomHomeworkObjectiveGrader) đã được trừu tượng hóa hoàn toàn. Để kích hoạt thêm đề thi TOEIC (thang điểm 990), chỉ cần nạp bộ câu hỏi và cấu hình ma trận quy đổi điểm qua AssessmentPassingThresholdResolver mà không phải sửa đổi cấu trúc cơ sở dữ liệu hay mã nguồn cốt lõi.</w:t>
      </w:r>
    </w:p>
    <w:p>
      <w:pPr>
        <w:pStyle w:val="Heading1"/>
        <w:spacing w:after="150" w:before="400"/>
      </w:pPr>
      <w:r>
        <w:rPr>
          <w:b/>
          <w:bCs/>
          <w:color w:val="1E3A8A"/>
          <w:sz w:val="28"/>
          <w:szCs w:val="28"/>
        </w:rPr>
        <w:t xml:space="preserve">3. Biểu đồ Use Case &amp; Workflow tổng hợp nghiệp vụ chính</w:t>
      </w:r>
    </w:p>
    <w:tbl>
      <w:tblPr>
        <w:tblW w:type="pct" w:w="100%"/>
        <w:tblBorders>
          <w:top w:val="none" w:color="auto" w:sz="0"/>
          <w:left w:val="single" w:color="B91C1C" w:sz="24"/>
          <w:bottom w:val="none" w:color="auto" w:sz="0"/>
          <w:right w:val="none" w:color="auto" w:sz="0"/>
          <w:insideH w:val="single" w:color="auto" w:sz="4"/>
          <w:insideV w:val="single" w:color="auto" w:sz="4"/>
        </w:tblBorders>
      </w:tblPr>
      <w:tblGrid>
        <w:gridCol w:w="100"/>
      </w:tblGrid>
      <w:tr>
        <w:tc>
          <w:tcPr>
            <w:shd w:fill="FEF2F2" w:val="clear"/>
            <w:tcMar>
              <w:top w:type="dxa" w:w="120"/>
              <w:left w:type="dxa" w:w="180"/>
              <w:bottom w:type="dxa" w:w="120"/>
              <w:right w:type="dxa" w:w="180"/>
            </w:tcMar>
          </w:tcPr>
          <w:p>
            <w:r>
              <w:rPr>
                <w:rFonts w:ascii="Calibri" w:cs="Calibri" w:eastAsia="Calibri" w:hAnsi="Calibri"/>
                <w:b/>
                <w:bCs/>
                <w:color w:val="B91C1C"/>
                <w:sz w:val="22"/>
                <w:szCs w:val="22"/>
              </w:rPr>
              <w:t xml:space="preserve">Nhận xét của Hội đồng: </w:t>
            </w:r>
            <w:r>
              <w:rPr>
                <w:rFonts w:ascii="Calibri" w:cs="Calibri" w:eastAsia="Calibri" w:hAnsi="Calibri"/>
                <w:i/>
                <w:iCs/>
                <w:color w:val="334155"/>
                <w:sz w:val="22"/>
                <w:szCs w:val="22"/>
              </w:rPr>
              <w:t xml:space="preserve">"Biểu đồ UC chưa thể hiện đủ các UC ko có các quan hệ extend, include mà đa số nối trực tiếp nên chưa thể hiện rang buộc nghiệp vụ của các chức năng trong hệ thống, nên vẽ 1 workflow tổng hợp để hình dung nên nghiệp vụ chính của hệ thống hơn."</w:t>
            </w:r>
          </w:p>
        </w:tc>
      </w:tr>
    </w:tbl>
    <w:p>
      <w:pPr>
        <w:spacing w:after="80" w:before="150"/>
      </w:pPr>
      <w:r>
        <w:rPr>
          <w:b/>
          <w:bCs/>
          <w:color w:val="1E3A8A"/>
        </w:rPr>
        <w:t xml:space="preserve">A. Bổ sung quan hệ &lt;&lt;include&gt;&gt; và &lt;&lt;extend&gt;&gt; trong Use Case: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fill="1E3A8A" w:val="clear"/>
            <w:tcMar>
              <w:top w:type="dxa" w:w="120"/>
              <w:left w:type="dxa" w:w="180"/>
              <w:bottom w:type="dxa" w:w="120"/>
              <w:right w:type="dxa" w:w="180"/>
            </w:tcMar>
          </w:tcPr>
          <w:p>
            <w:r>
              <w:rPr>
                <w:b/>
                <w:bCs/>
                <w:color w:val="FFFFFF"/>
              </w:rPr>
              <w:t xml:space="preserve">Use Case Chính</w:t>
            </w:r>
          </w:p>
        </w:tc>
        <w:tc>
          <w:tcPr>
            <w:shd w:fill="1E3A8A" w:val="clear"/>
            <w:tcMar>
              <w:top w:type="dxa" w:w="120"/>
              <w:left w:type="dxa" w:w="180"/>
              <w:bottom w:type="dxa" w:w="120"/>
              <w:right w:type="dxa" w:w="180"/>
            </w:tcMar>
          </w:tcPr>
          <w:p>
            <w:r>
              <w:rPr>
                <w:b/>
                <w:bCs/>
                <w:color w:val="FFFFFF"/>
              </w:rPr>
              <w:t xml:space="preserve">Quan hệ &lt;&lt;include&gt;&gt; (Bắt buộc)</w:t>
            </w:r>
          </w:p>
        </w:tc>
        <w:tc>
          <w:tcPr>
            <w:shd w:fill="1E3A8A" w:val="clear"/>
            <w:tcMar>
              <w:top w:type="dxa" w:w="120"/>
              <w:left w:type="dxa" w:w="180"/>
              <w:bottom w:type="dxa" w:w="120"/>
              <w:right w:type="dxa" w:w="180"/>
            </w:tcMar>
          </w:tcPr>
          <w:p>
            <w:r>
              <w:rPr>
                <w:b/>
                <w:bCs/>
                <w:color w:val="FFFFFF"/>
              </w:rPr>
              <w:t xml:space="preserve">Quan hệ &lt;&lt;extend&gt;&gt; (Mở rộng/Điều kiện)</w:t>
            </w:r>
          </w:p>
        </w:tc>
      </w:tr>
      <w:tr>
        <w:tc>
          <w:tcPr>
            <w:tcMar>
              <w:top w:type="dxa" w:w="120"/>
              <w:left w:type="dxa" w:w="180"/>
              <w:bottom w:type="dxa" w:w="120"/>
              <w:right w:type="dxa" w:w="180"/>
            </w:tcMar>
          </w:tcPr>
          <w:p>
            <w:r>
              <w:rPr>
                <w:b/>
                <w:bCs/>
              </w:rPr>
              <w:t xml:space="preserve">Đăng ký Lớp học (Enroll Classroom)</w:t>
            </w:r>
          </w:p>
        </w:tc>
        <w:tc>
          <w:tcPr>
            <w:tcMar>
              <w:top w:type="dxa" w:w="120"/>
              <w:left w:type="dxa" w:w="180"/>
              <w:bottom w:type="dxa" w:w="120"/>
              <w:right w:type="dxa" w:w="180"/>
            </w:tcMar>
          </w:tcPr>
          <w:p>
            <w:r>
              <w:t xml:space="preserve">- Xác thực tài khoản
- Kiểm tra xung đột lịch &amp; Sĩ số
- Xử lý học phí qua PayOS</w:t>
            </w:r>
          </w:p>
        </w:tc>
        <w:tc>
          <w:tcPr>
            <w:tcMar>
              <w:top w:type="dxa" w:w="120"/>
              <w:left w:type="dxa" w:w="180"/>
              <w:bottom w:type="dxa" w:w="120"/>
              <w:right w:type="dxa" w:w="180"/>
            </w:tcMar>
          </w:tcPr>
          <w:p>
            <w:r>
              <w:t xml:space="preserve">- Xếp vào Waitlist (khi lớp đầy)
- Áp dụng mã giảm giá (Discount code)</w:t>
            </w:r>
          </w:p>
        </w:tc>
      </w:tr>
      <w:tr>
        <w:tc>
          <w:tcPr>
            <w:tcMar>
              <w:top w:type="dxa" w:w="120"/>
              <w:left w:type="dxa" w:w="180"/>
              <w:bottom w:type="dxa" w:w="120"/>
              <w:right w:type="dxa" w:w="180"/>
            </w:tcMar>
          </w:tcPr>
          <w:p>
            <w:r>
              <w:rPr>
                <w:b/>
                <w:bCs/>
              </w:rPr>
              <w:t xml:space="preserve">Nộp bài thi/kiểm tra (Submit Assessment)</w:t>
            </w:r>
          </w:p>
        </w:tc>
        <w:tc>
          <w:tcPr>
            <w:tcMar>
              <w:top w:type="dxa" w:w="120"/>
              <w:left w:type="dxa" w:w="180"/>
              <w:bottom w:type="dxa" w:w="120"/>
              <w:right w:type="dxa" w:w="180"/>
            </w:tcMar>
          </w:tcPr>
          <w:p>
            <w:r>
              <w:t xml:space="preserve">- Tải lên file Audio/Văn bản
- Ghi nhận thời gian nộp</w:t>
            </w:r>
          </w:p>
        </w:tc>
        <w:tc>
          <w:tcPr>
            <w:tcMar>
              <w:top w:type="dxa" w:w="120"/>
              <w:left w:type="dxa" w:w="180"/>
              <w:bottom w:type="dxa" w:w="120"/>
              <w:right w:type="dxa" w:w="180"/>
            </w:tcMar>
          </w:tcPr>
          <w:p>
            <w:r>
              <w:t xml:space="preserve">- Đánh giá tự động qua AI (AI Assessment)
- Giáo viên chấm theo 4 tiêu chí Rubric
- Chú thích sửa bài viết (Annotation)</w:t>
            </w:r>
          </w:p>
        </w:tc>
      </w:tr>
      <w:tr>
        <w:tc>
          <w:tcPr>
            <w:tcMar>
              <w:top w:type="dxa" w:w="120"/>
              <w:left w:type="dxa" w:w="180"/>
              <w:bottom w:type="dxa" w:w="120"/>
              <w:right w:type="dxa" w:w="180"/>
            </w:tcMar>
          </w:tcPr>
          <w:p>
            <w:r>
              <w:rPr>
                <w:b/>
                <w:bCs/>
              </w:rPr>
              <w:t xml:space="preserve">Quản lý điểm danh (Manage Attendance)</w:t>
            </w:r>
          </w:p>
        </w:tc>
        <w:tc>
          <w:tcPr>
            <w:tcMar>
              <w:top w:type="dxa" w:w="120"/>
              <w:left w:type="dxa" w:w="180"/>
              <w:bottom w:type="dxa" w:w="120"/>
              <w:right w:type="dxa" w:w="180"/>
            </w:tcMar>
          </w:tcPr>
          <w:p>
            <w:r>
              <w:t xml:space="preserve">- Cập nhật trạng thái điểm danh buổi học</w:t>
            </w:r>
          </w:p>
        </w:tc>
        <w:tc>
          <w:tcPr>
            <w:tcMar>
              <w:top w:type="dxa" w:w="120"/>
              <w:left w:type="dxa" w:w="180"/>
              <w:bottom w:type="dxa" w:w="120"/>
              <w:right w:type="dxa" w:w="180"/>
            </w:tcMar>
          </w:tcPr>
          <w:p>
            <w:r>
              <w:t xml:space="preserve">- Học viên gửi khiếu nại (Dispute)
- Đồng bộ tự động từ phòng học ảo (Lark/Meet)</w:t>
            </w:r>
          </w:p>
        </w:tc>
      </w:tr>
    </w:tbl>
    <w:p>
      <w:pPr>
        <w:spacing w:after="80" w:before="200"/>
      </w:pPr>
      <w:r>
        <w:rPr>
          <w:b/>
          <w:bCs/>
          <w:color w:val="1E3A8A"/>
        </w:rPr>
        <w:t xml:space="preserve">B. Workflow tổng hợp nghiệp vụ hệ thống End-to-End:</w:t>
      </w:r>
    </w:p>
    <w:p>
      <w:pPr>
        <w:pStyle w:val="ListParagraph"/>
        <w:numPr>
          <w:ilvl w:val="0"/>
          <w:numId w:val="1"/>
        </w:numPr>
      </w:pPr>
      <w:r>
        <w:rPr>
          <w:b/>
          <w:bCs/>
        </w:rPr>
        <w:t xml:space="preserve">Bước 1 (Đánh giá năng lực): </w:t>
      </w:r>
      <w:r>
        <w:t xml:space="preserve">Học viên làm bài kiểm tra phân loại đầu vào (Placement Test 4 kỹ năng) → Hệ thống AI &amp; Rubric phân tích → Đưa ra khuyến nghị trình độ (Band Level: A2, B1, IELTS 5.0, 6.5...) và đề xuất khóa học phù hợp.</w:t>
      </w:r>
    </w:p>
    <w:p>
      <w:pPr>
        <w:pStyle w:val="ListParagraph"/>
        <w:numPr>
          <w:ilvl w:val="0"/>
          <w:numId w:val="1"/>
        </w:numPr>
      </w:pPr>
      <w:r>
        <w:rPr>
          <w:b/>
          <w:bCs/>
        </w:rPr>
        <w:t xml:space="preserve">Bước 2 (Ghi danh &amp; Xếp lớp): </w:t>
      </w:r>
      <w:r>
        <w:t xml:space="preserve">Học viên chọn hình thức học (Online Self-paced, Offline tại cơ sở, hoặc Virtual qua Lark/Meet) → Hệ thống kiểm tra điều kiện lịch học và giữ chỗ sĩ số → Thanh toán học phí an toàn qua cổng PayOS → Kích hoạt gói học (CourseEnrollmentAccessPolicy).</w:t>
      </w:r>
    </w:p>
    <w:p>
      <w:pPr>
        <w:pStyle w:val="ListParagraph"/>
        <w:numPr>
          <w:ilvl w:val="0"/>
          <w:numId w:val="1"/>
        </w:numPr>
      </w:pPr>
      <w:r>
        <w:rPr>
          <w:b/>
          <w:bCs/>
        </w:rPr>
        <w:t xml:space="preserve">Bước 3 (Học tập &amp; Tương tác): </w:t>
      </w:r>
      <w:r>
        <w:t xml:space="preserve">Học viên tham gia học theo đúng Delivery Mode đã đăng ký (Xem bài giảng video + sổ từ vựng Flashcards đối với Online; Học trực tiếp tại Campus đối với Offline; Tham gia phòng học ảo có ghi hình tự động đối với Virtual).</w:t>
      </w:r>
    </w:p>
    <w:p>
      <w:pPr>
        <w:pStyle w:val="ListParagraph"/>
        <w:numPr>
          <w:ilvl w:val="0"/>
          <w:numId w:val="1"/>
        </w:numPr>
      </w:pPr>
      <w:r>
        <w:rPr>
          <w:b/>
          <w:bCs/>
        </w:rPr>
        <w:t xml:space="preserve">Bước 4 (Đánh giá &amp; Chấm chữa): </w:t>
      </w:r>
      <w:r>
        <w:t xml:space="preserve">Học viên làm bài tập, Module Test, Mock Exam → Hệ thống tự động chấm trắc nghiệm khách quan; AI và Giáo viên chấm Writing/Speaking theo 4 tiêu chí chuẩn IELTS và phản hồi chú thích trực tiếp trên bài làm.</w:t>
      </w:r>
    </w:p>
    <w:p>
      <w:pPr>
        <w:pStyle w:val="ListParagraph"/>
        <w:numPr>
          <w:ilvl w:val="0"/>
          <w:numId w:val="1"/>
        </w:numPr>
      </w:pPr>
      <w:r>
        <w:rPr>
          <w:b/>
          <w:bCs/>
        </w:rPr>
        <w:t xml:space="preserve">Bước 5 (Tổng kết &amp; Cấp chứng nhận): </w:t>
      </w:r>
      <w:r>
        <w:t xml:space="preserve">Tổng kết điểm vào Sổ điểm lớp học (Gradebook), theo dõi tỷ lệ chuyên cần và cấp chứng chỉ hoàn thành khóa học.</w:t>
      </w:r>
    </w:p>
    <w:p>
      <w:pPr>
        <w:pStyle w:val="Heading1"/>
        <w:spacing w:after="150" w:before="400"/>
      </w:pPr>
      <w:r>
        <w:rPr>
          <w:b/>
          <w:bCs/>
          <w:color w:val="1E3A8A"/>
          <w:sz w:val="28"/>
          <w:szCs w:val="28"/>
        </w:rPr>
        <w:t xml:space="preserve">4. Về Scope 3 phương pháp (Online, Offline, Virtual) &amp; Tiến độ dự án</w:t>
      </w:r>
    </w:p>
    <w:tbl>
      <w:tblPr>
        <w:tblW w:type="pct" w:w="100%"/>
        <w:tblBorders>
          <w:top w:val="none" w:color="auto" w:sz="0"/>
          <w:left w:val="single" w:color="B91C1C" w:sz="24"/>
          <w:bottom w:val="none" w:color="auto" w:sz="0"/>
          <w:right w:val="none" w:color="auto" w:sz="0"/>
          <w:insideH w:val="single" w:color="auto" w:sz="4"/>
          <w:insideV w:val="single" w:color="auto" w:sz="4"/>
        </w:tblBorders>
      </w:tblPr>
      <w:tblGrid>
        <w:gridCol w:w="100"/>
      </w:tblGrid>
      <w:tr>
        <w:tc>
          <w:tcPr>
            <w:shd w:fill="FEF2F2" w:val="clear"/>
            <w:tcMar>
              <w:top w:type="dxa" w:w="120"/>
              <w:left w:type="dxa" w:w="180"/>
              <w:bottom w:type="dxa" w:w="120"/>
              <w:right w:type="dxa" w:w="180"/>
            </w:tcMar>
          </w:tcPr>
          <w:p>
            <w:r>
              <w:rPr>
                <w:rFonts w:ascii="Calibri" w:cs="Calibri" w:eastAsia="Calibri" w:hAnsi="Calibri"/>
                <w:b/>
                <w:bCs/>
                <w:color w:val="B91C1C"/>
                <w:sz w:val="22"/>
                <w:szCs w:val="22"/>
              </w:rPr>
              <w:t xml:space="preserve">Nhận xét của Hội đồng: </w:t>
            </w:r>
            <w:r>
              <w:rPr>
                <w:rFonts w:ascii="Calibri" w:cs="Calibri" w:eastAsia="Calibri" w:hAnsi="Calibri"/>
                <w:i/>
                <w:iCs/>
                <w:color w:val="334155"/>
                <w:sz w:val="22"/>
                <w:szCs w:val="22"/>
              </w:rPr>
              <w:t xml:space="preserve">"Điểm nhấn của nhóm tích hợp cả 3 phương pháp học trong một nền tảng: online, offline, virtual learning nhưng lại có thể gây ra ra rủi ro về mặt scope vì phải phát triển hệ thống trên cả 3 nền tảng với những ràng buộc khác nhau như vậy thì nhóm cần lưu ý đến tiến độ của dự án."</w:t>
            </w:r>
          </w:p>
        </w:tc>
      </w:tr>
    </w:tbl>
    <w:p>
      <w:pPr>
        <w:spacing w:after="80" w:before="150"/>
      </w:pPr>
      <w:r>
        <w:rPr>
          <w:b/>
          <w:bCs/>
          <w:color w:val="1E3A8A"/>
        </w:rPr>
        <w:t xml:space="preserve">Giải trình giải pháp kỹ thuật kiểm soát Scope &amp; Tiến độ:</w:t>
      </w:r>
    </w:p>
    <w:p>
      <w:pPr>
        <w:pStyle w:val="ListParagraph"/>
        <w:numPr>
          <w:ilvl w:val="0"/>
          <w:numId w:val="1"/>
        </w:numPr>
      </w:pPr>
      <w:r>
        <w:rPr>
          <w:b/>
          <w:bCs/>
        </w:rPr>
        <w:t xml:space="preserve">Bản chất là "Một nền tảng hợp nhất" (Single Unified Platform): </w:t>
      </w:r>
      <w:r>
        <w:t xml:space="preserve">Nhóm không phát triển 3 hệ sinh thái phần mềm riêng lẻ mà xây dựng một kiến trúc lõi dùng chung (Shared Core Domain): chung hệ thống Tài khoản, Chương trình khung (CurriculumProgram), Ngân hàng học liệu &amp; Đề thi, Cổng thanh toán và Sổ điểm (Gradebook).</w:t>
      </w:r>
    </w:p>
    <w:p>
      <w:pPr>
        <w:pStyle w:val="ListParagraph"/>
        <w:numPr>
          <w:ilvl w:val="0"/>
          <w:numId w:val="1"/>
        </w:numPr>
      </w:pPr>
      <w:r>
        <w:rPr>
          <w:b/>
          <w:bCs/>
        </w:rPr>
        <w:t xml:space="preserve">Không tự xây dựng hạ tầng Video Streaming/WebRTC từ đầu: </w:t>
      </w:r>
      <w:r>
        <w:t xml:space="preserve">Đối với lớp học ảo (Virtual Classroom), nhóm tích hợp giải pháp chuyên nghiệp qua API và Webhook của Lark Suite và Google Meet (LarkMeetingService, TeacherGoogleMeetConnectionService, ClassroomRecordingService). Điều này giúp loại bỏ hoàn toàn rủi ro công nghệ phức tạp, tiết kiệm thời gian phát triển và đảm bảo độ ổn định cao.</w:t>
      </w:r>
    </w:p>
    <w:p>
      <w:pPr>
        <w:pStyle w:val="ListParagraph"/>
        <w:numPr>
          <w:ilvl w:val="0"/>
          <w:numId w:val="1"/>
        </w:numPr>
      </w:pPr>
      <w:r>
        <w:rPr>
          <w:b/>
          <w:bCs/>
        </w:rPr>
        <w:t xml:space="preserve">Chính sách quản lý truy cập và tài nguyên phân cấp (CourseEnrollmentAccessPolicy): </w:t>
      </w:r>
      <w:r>
        <w:t xml:space="preserve">Ràng buộc nghiệp vụ giữa các hình thức học được kiểm soát tự động thông qua DeliveryMode và trạng thái tuyển sinh (ASSIGNED, WAITLIST, FULLY_PAID) với cơ chế khoá dữ liệu (Pessimistic Locking) chống vượt quá sĩ số tối đa.</w:t>
      </w:r>
    </w:p>
    <w:p>
      <w:pPr>
        <w:pStyle w:val="Heading1"/>
        <w:spacing w:after="150" w:before="400"/>
      </w:pPr>
      <w:r>
        <w:rPr>
          <w:b/>
          <w:bCs/>
          <w:color w:val="1E3A8A"/>
          <w:sz w:val="28"/>
          <w:szCs w:val="28"/>
        </w:rPr>
        <w:t xml:space="preserve">5. Tổng hợp các nghiệp vụ đặc thù Tiếng Anh trong hệ thống EnglishLab</w:t>
      </w:r>
    </w:p>
    <w:tbl>
      <w:tblPr>
        <w:tblW w:type="pct" w:w="100%"/>
        <w:tblBorders>
          <w:top w:val="none" w:color="auto" w:sz="0"/>
          <w:left w:val="single" w:color="B91C1C" w:sz="24"/>
          <w:bottom w:val="none" w:color="auto" w:sz="0"/>
          <w:right w:val="none" w:color="auto" w:sz="0"/>
          <w:insideH w:val="single" w:color="auto" w:sz="4"/>
          <w:insideV w:val="single" w:color="auto" w:sz="4"/>
        </w:tblBorders>
      </w:tblPr>
      <w:tblGrid>
        <w:gridCol w:w="100"/>
      </w:tblGrid>
      <w:tr>
        <w:tc>
          <w:tcPr>
            <w:shd w:fill="FEF2F2" w:val="clear"/>
            <w:tcMar>
              <w:top w:type="dxa" w:w="120"/>
              <w:left w:type="dxa" w:w="180"/>
              <w:bottom w:type="dxa" w:w="120"/>
              <w:right w:type="dxa" w:w="180"/>
            </w:tcMar>
          </w:tcPr>
          <w:p>
            <w:r>
              <w:rPr>
                <w:rFonts w:ascii="Calibri" w:cs="Calibri" w:eastAsia="Calibri" w:hAnsi="Calibri"/>
                <w:b/>
                <w:bCs/>
                <w:color w:val="B91C1C"/>
                <w:sz w:val="22"/>
                <w:szCs w:val="22"/>
              </w:rPr>
              <w:t xml:space="preserve">Nhận xét của Hội đồng: </w:t>
            </w:r>
            <w:r>
              <w:rPr>
                <w:rFonts w:ascii="Calibri" w:cs="Calibri" w:eastAsia="Calibri" w:hAnsi="Calibri"/>
                <w:i/>
                <w:iCs/>
                <w:color w:val="334155"/>
                <w:sz w:val="22"/>
                <w:szCs w:val="22"/>
              </w:rPr>
              <w:t xml:space="preserve">"Giải pháp nhóm đưa ra khá chung nên nhóm nên bổ sung thêm những nghiệp vụ đặc thù riêng của môn tiếng anh để bài toàn phù hợp với tên đề tài."</w:t>
            </w:r>
          </w:p>
        </w:tc>
      </w:tr>
    </w:tbl>
    <w:p>
      <w:pPr>
        <w:spacing w:after="80" w:before="150"/>
      </w:pPr>
      <w:r>
        <w:rPr>
          <w:b/>
          <w:bCs/>
          <w:color w:val="1E3A8A"/>
        </w:rPr>
        <w:t xml:space="preserve">Bảng đối chiếu nghiệp vụ đặc thù Tiếng Anh với Mã nguồn đã xây dựng:</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fill="1E3A8A" w:val="clear"/>
            <w:tcMar>
              <w:top w:type="dxa" w:w="120"/>
              <w:left w:type="dxa" w:w="180"/>
              <w:bottom w:type="dxa" w:w="120"/>
              <w:right w:type="dxa" w:w="180"/>
            </w:tcMar>
          </w:tcPr>
          <w:p>
            <w:r>
              <w:rPr>
                <w:b/>
                <w:bCs/>
                <w:color w:val="FFFFFF"/>
              </w:rPr>
              <w:t xml:space="preserve">STT</w:t>
            </w:r>
          </w:p>
        </w:tc>
        <w:tc>
          <w:tcPr>
            <w:shd w:fill="1E3A8A" w:val="clear"/>
            <w:tcMar>
              <w:top w:type="dxa" w:w="120"/>
              <w:left w:type="dxa" w:w="180"/>
              <w:bottom w:type="dxa" w:w="120"/>
              <w:right w:type="dxa" w:w="180"/>
            </w:tcMar>
          </w:tcPr>
          <w:p>
            <w:r>
              <w:rPr>
                <w:b/>
                <w:bCs/>
                <w:color w:val="FFFFFF"/>
              </w:rPr>
              <w:t xml:space="preserve">Nghiệp vụ đặc thù Tiếng Anh</w:t>
            </w:r>
          </w:p>
        </w:tc>
        <w:tc>
          <w:tcPr>
            <w:shd w:fill="1E3A8A" w:val="clear"/>
            <w:tcMar>
              <w:top w:type="dxa" w:w="120"/>
              <w:left w:type="dxa" w:w="180"/>
              <w:bottom w:type="dxa" w:w="120"/>
              <w:right w:type="dxa" w:w="180"/>
            </w:tcMar>
          </w:tcPr>
          <w:p>
            <w:r>
              <w:rPr>
                <w:b/>
                <w:bCs/>
                <w:color w:val="FFFFFF"/>
              </w:rPr>
              <w:t xml:space="preserve">Thành phần Hiện thực hóa trong Code</w:t>
            </w:r>
          </w:p>
        </w:tc>
      </w:tr>
      <w:tr>
        <w:tc>
          <w:tcPr>
            <w:tcMar>
              <w:top w:type="dxa" w:w="120"/>
              <w:left w:type="dxa" w:w="180"/>
              <w:bottom w:type="dxa" w:w="120"/>
              <w:right w:type="dxa" w:w="180"/>
            </w:tcMar>
          </w:tcPr>
          <w:p>
            <w:r>
              <w:t xml:space="preserve">1</w:t>
            </w:r>
          </w:p>
        </w:tc>
        <w:tc>
          <w:tcPr>
            <w:tcMar>
              <w:top w:type="dxa" w:w="120"/>
              <w:left w:type="dxa" w:w="180"/>
              <w:bottom w:type="dxa" w:w="120"/>
              <w:right w:type="dxa" w:w="180"/>
            </w:tcMar>
          </w:tcPr>
          <w:p>
            <w:r>
              <w:rPr>
                <w:b/>
                <w:bCs/>
              </w:rPr>
              <w:t xml:space="preserve">Quy chuẩn thang điểm IELTS 9.0</w:t>
            </w:r>
          </w:p>
        </w:tc>
        <w:tc>
          <w:tcPr>
            <w:tcMar>
              <w:top w:type="dxa" w:w="120"/>
              <w:left w:type="dxa" w:w="180"/>
              <w:bottom w:type="dxa" w:w="120"/>
              <w:right w:type="dxa" w:w="180"/>
            </w:tcMar>
          </w:tcPr>
          <w:p>
            <w:r>
              <w:t xml:space="preserve">fu.sep490.g23.backend.service.assessment.IeltsBandScale</w:t>
            </w:r>
          </w:p>
        </w:tc>
      </w:tr>
      <w:tr>
        <w:tc>
          <w:tcPr>
            <w:tcMar>
              <w:top w:type="dxa" w:w="120"/>
              <w:left w:type="dxa" w:w="180"/>
              <w:bottom w:type="dxa" w:w="120"/>
              <w:right w:type="dxa" w:w="180"/>
            </w:tcMar>
          </w:tcPr>
          <w:p>
            <w:r>
              <w:t xml:space="preserve">2</w:t>
            </w:r>
          </w:p>
        </w:tc>
        <w:tc>
          <w:tcPr>
            <w:tcMar>
              <w:top w:type="dxa" w:w="120"/>
              <w:left w:type="dxa" w:w="180"/>
              <w:bottom w:type="dxa" w:w="120"/>
              <w:right w:type="dxa" w:w="180"/>
            </w:tcMar>
          </w:tcPr>
          <w:p>
            <w:r>
              <w:rPr>
                <w:b/>
                <w:bCs/>
              </w:rPr>
              <w:t xml:space="preserve">Bộ tiêu chí chấm Rubric 4 chuẩn IELTS</w:t>
            </w:r>
          </w:p>
        </w:tc>
        <w:tc>
          <w:tcPr>
            <w:tcMar>
              <w:top w:type="dxa" w:w="120"/>
              <w:left w:type="dxa" w:w="180"/>
              <w:bottom w:type="dxa" w:w="120"/>
              <w:right w:type="dxa" w:w="180"/>
            </w:tcMar>
          </w:tcPr>
          <w:p>
            <w:r>
              <w:t xml:space="preserve">AssessmentRubric, RubricCriterion (TA/TR, CC, LR, GRA)</w:t>
            </w:r>
          </w:p>
        </w:tc>
      </w:tr>
      <w:tr>
        <w:tc>
          <w:tcPr>
            <w:tcMar>
              <w:top w:type="dxa" w:w="120"/>
              <w:left w:type="dxa" w:w="180"/>
              <w:bottom w:type="dxa" w:w="120"/>
              <w:right w:type="dxa" w:w="180"/>
            </w:tcMar>
          </w:tcPr>
          <w:p>
            <w:r>
              <w:t xml:space="preserve">3</w:t>
            </w:r>
          </w:p>
        </w:tc>
        <w:tc>
          <w:tcPr>
            <w:tcMar>
              <w:top w:type="dxa" w:w="120"/>
              <w:left w:type="dxa" w:w="180"/>
              <w:bottom w:type="dxa" w:w="120"/>
              <w:right w:type="dxa" w:w="180"/>
            </w:tcMar>
          </w:tcPr>
          <w:p>
            <w:r>
              <w:rPr>
                <w:b/>
                <w:bCs/>
              </w:rPr>
              <w:t xml:space="preserve">AI Speech &amp; Essay Evaluation</w:t>
            </w:r>
          </w:p>
        </w:tc>
        <w:tc>
          <w:tcPr>
            <w:tcMar>
              <w:top w:type="dxa" w:w="120"/>
              <w:left w:type="dxa" w:w="180"/>
              <w:bottom w:type="dxa" w:w="120"/>
              <w:right w:type="dxa" w:w="180"/>
            </w:tcMar>
          </w:tcPr>
          <w:p>
            <w:r>
              <w:t xml:space="preserve">AiAssessmentService, GeminiAiEvaluationClient, AssessmentAudioStorageService</w:t>
            </w:r>
          </w:p>
        </w:tc>
      </w:tr>
      <w:tr>
        <w:tc>
          <w:tcPr>
            <w:tcMar>
              <w:top w:type="dxa" w:w="120"/>
              <w:left w:type="dxa" w:w="180"/>
              <w:bottom w:type="dxa" w:w="120"/>
              <w:right w:type="dxa" w:w="180"/>
            </w:tcMar>
          </w:tcPr>
          <w:p>
            <w:r>
              <w:t xml:space="preserve">4</w:t>
            </w:r>
          </w:p>
        </w:tc>
        <w:tc>
          <w:tcPr>
            <w:tcMar>
              <w:top w:type="dxa" w:w="120"/>
              <w:left w:type="dxa" w:w="180"/>
              <w:bottom w:type="dxa" w:w="120"/>
              <w:right w:type="dxa" w:w="180"/>
            </w:tcMar>
          </w:tcPr>
          <w:p>
            <w:r>
              <w:rPr>
                <w:b/>
                <w:bCs/>
              </w:rPr>
              <w:t xml:space="preserve">Chú thích sửa bài viết tương tác (Annotation)</w:t>
            </w:r>
          </w:p>
        </w:tc>
        <w:tc>
          <w:tcPr>
            <w:tcMar>
              <w:top w:type="dxa" w:w="120"/>
              <w:left w:type="dxa" w:w="180"/>
              <w:bottom w:type="dxa" w:w="120"/>
              <w:right w:type="dxa" w:w="180"/>
            </w:tcMar>
          </w:tcPr>
          <w:p>
            <w:r>
              <w:t xml:space="preserve">HomeworkTextAnnotationCodec (Highlight lỗi từ vựng/ngữ pháp)</w:t>
            </w:r>
          </w:p>
        </w:tc>
      </w:tr>
      <w:tr>
        <w:tc>
          <w:tcPr>
            <w:tcMar>
              <w:top w:type="dxa" w:w="120"/>
              <w:left w:type="dxa" w:w="180"/>
              <w:bottom w:type="dxa" w:w="120"/>
              <w:right w:type="dxa" w:w="180"/>
            </w:tcMar>
          </w:tcPr>
          <w:p>
            <w:r>
              <w:t xml:space="preserve">5</w:t>
            </w:r>
          </w:p>
        </w:tc>
        <w:tc>
          <w:tcPr>
            <w:tcMar>
              <w:top w:type="dxa" w:w="120"/>
              <w:left w:type="dxa" w:w="180"/>
              <w:bottom w:type="dxa" w:w="120"/>
              <w:right w:type="dxa" w:w="180"/>
            </w:tcMar>
          </w:tcPr>
          <w:p>
            <w:r>
              <w:rPr>
                <w:b/>
                <w:bCs/>
              </w:rPr>
              <w:t xml:space="preserve">Sổ từ vựng &amp; Flashcards Spaced Repetition</w:t>
            </w:r>
          </w:p>
        </w:tc>
        <w:tc>
          <w:tcPr>
            <w:tcMar>
              <w:top w:type="dxa" w:w="120"/>
              <w:left w:type="dxa" w:w="180"/>
              <w:bottom w:type="dxa" w:w="120"/>
              <w:right w:type="dxa" w:w="180"/>
            </w:tcMar>
          </w:tcPr>
          <w:p>
            <w:r>
              <w:t xml:space="preserve">SavedVocabulary, VocabularyProgress, DictionaryPage.jsx</w:t>
            </w:r>
          </w:p>
        </w:tc>
      </w:tr>
      <w:tr>
        <w:tc>
          <w:tcPr>
            <w:tcMar>
              <w:top w:type="dxa" w:w="120"/>
              <w:left w:type="dxa" w:w="180"/>
              <w:bottom w:type="dxa" w:w="120"/>
              <w:right w:type="dxa" w:w="180"/>
            </w:tcMar>
          </w:tcPr>
          <w:p>
            <w:r>
              <w:t xml:space="preserve">6</w:t>
            </w:r>
          </w:p>
        </w:tc>
        <w:tc>
          <w:tcPr>
            <w:tcMar>
              <w:top w:type="dxa" w:w="120"/>
              <w:left w:type="dxa" w:w="180"/>
              <w:bottom w:type="dxa" w:w="120"/>
              <w:right w:type="dxa" w:w="180"/>
            </w:tcMar>
          </w:tcPr>
          <w:p>
            <w:r>
              <w:rPr>
                <w:b/>
                <w:bCs/>
              </w:rPr>
              <w:t xml:space="preserve">Đánh giá đầu vào &amp; Khuyến nghị Lộ trình</w:t>
            </w:r>
          </w:p>
        </w:tc>
        <w:tc>
          <w:tcPr>
            <w:tcMar>
              <w:top w:type="dxa" w:w="120"/>
              <w:left w:type="dxa" w:w="180"/>
              <w:bottom w:type="dxa" w:w="120"/>
              <w:right w:type="dxa" w:w="180"/>
            </w:tcMar>
          </w:tcPr>
          <w:p>
            <w:r>
              <w:t xml:space="preserve">PlacementTestService, PlacementRecommendationService</w:t>
            </w:r>
          </w:p>
        </w:tc>
      </w:tr>
    </w:tbl>
    <w:p>
      <w:pPr>
        <w:pStyle w:val="Heading1"/>
        <w:spacing w:after="150" w:before="400"/>
      </w:pPr>
      <w:r>
        <w:rPr>
          <w:b/>
          <w:bCs/>
          <w:color w:val="1E3A8A"/>
          <w:sz w:val="28"/>
          <w:szCs w:val="28"/>
        </w:rPr>
        <w:t xml:space="preserve">6. Tóm lược Chiến lược Trình bày trước Hội đồng</w:t>
      </w:r>
    </w:p>
    <w:p>
      <w:pPr>
        <w:pStyle w:val="ListParagraph"/>
        <w:numPr>
          <w:ilvl w:val="0"/>
          <w:numId w:val="1"/>
        </w:numPr>
      </w:pPr>
      <w:r>
        <w:rPr>
          <w:b/>
          <w:bCs/>
        </w:rPr>
        <w:t xml:space="preserve">1. Khẳng định tính thực tế: </w:t>
      </w:r>
      <w:r>
        <w:t xml:space="preserve">Nhóm đã tiếp thu toàn bộ góp ý của Hội đồng từ lần trước và biến các yêu cầu nghiệp vụ chuyên sâu thành các module code hoạt động thực tế trong dự án.</w:t>
      </w:r>
    </w:p>
    <w:p>
      <w:pPr>
        <w:pStyle w:val="ListParagraph"/>
        <w:numPr>
          <w:ilvl w:val="0"/>
          <w:numId w:val="1"/>
        </w:numPr>
      </w:pPr>
      <w:r>
        <w:rPr>
          <w:b/>
          <w:bCs/>
        </w:rPr>
        <w:t xml:space="preserve">2. Minh họa bằng Demo trực tiếp: </w:t>
      </w:r>
      <w:r>
        <w:t xml:space="preserve">Trình diễn trực tiếp tính năng làm bài Speaking (upload/thu âm audio), AI trả lời feedback theo 4 tiêu chí IELTS Band Scale, và tính năng giáo viên sửa bài viết qua Annotation để gây ấn tượng mạnh với Hội đồng.</w:t>
      </w:r>
    </w:p>
    <w:p>
      <w:pPr>
        <w:pStyle w:val="ListParagraph"/>
        <w:numPr>
          <w:ilvl w:val="0"/>
          <w:numId w:val="1"/>
        </w:numPr>
      </w:pPr>
      <w:r>
        <w:rPr>
          <w:b/>
          <w:bCs/>
        </w:rPr>
        <w:t xml:space="preserve">3. Bảo vệ tính tối ưu của Scope: </w:t>
      </w:r>
      <w:r>
        <w:t xml:space="preserve">Nhấn mạnh vào kiến trúc Single Unified Hybrid Platform và việc tích hợp thông minh các API sẵn có (Lark/Meet/PayOS) giúp dự án vừa giàu tính năng, vừa bảo đảm chất lượng và tiến độ cam kết.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2026-08-15T19:44:23.926Z</dcterms:created>
  <dcterms:modified xsi:type="dcterms:W3CDTF">2026-08-15T19:44:23.927Z</dcterms:modified>
</cp:coreProperties>
</file>

<file path=docProps/custom.xml><?xml version="1.0" encoding="utf-8"?>
<Properties xmlns="http://schemas.openxmlformats.org/officeDocument/2006/custom-properties" xmlns:vt="http://schemas.openxmlformats.org/officeDocument/2006/docPropsVTypes"/>
</file>