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76"/>
        <w:jc w:val="both"/>
      </w:pPr>
      <w:r>
        <w:t xml:space="preserve"/>
      </w:r>
    </w:p>
    <w:p>
      <w:pPr>
        <w:spacing w:after="80" w:before="0"/>
        <w:jc w:val="center"/>
      </w:pPr>
      <w:r>
        <w:rPr>
          <w:rFonts w:ascii="Arial" w:cs="Arial" w:eastAsia="Arial" w:hAnsi="Arial"/>
          <w:b/>
          <w:bCs/>
          <w:color w:val="1F3864"/>
          <w:sz w:val="32"/>
          <w:szCs w:val="32"/>
        </w:rPr>
        <w:t xml:space="preserve">GPS-Agent: A Multi-Agent Scaffolding Framework for Pedagogically-Controlled AI Tutoring in Mathematics</w:t>
      </w:r>
    </w:p>
    <w:p>
      <w:pPr>
        <w:spacing w:after="40" w:before="0" w:line="276"/>
        <w:jc w:val="both"/>
      </w:pPr>
      <w:r>
        <w:t xml:space="preserve"/>
      </w:r>
    </w:p>
    <w:p>
      <w:pPr>
        <w:spacing w:after="60" w:before="0"/>
        <w:jc w:val="center"/>
      </w:pPr>
      <w:r>
        <w:rPr>
          <w:rFonts w:ascii="Arial" w:cs="Arial" w:eastAsia="Arial" w:hAnsi="Arial"/>
          <w:color w:val="595959"/>
          <w:sz w:val="22"/>
          <w:szCs w:val="22"/>
        </w:rPr>
        <w:t xml:space="preserve">Anonymous Authors</w:t>
      </w:r>
    </w:p>
    <w:p>
      <w:pPr>
        <w:spacing w:after="200" w:before="0"/>
        <w:jc w:val="center"/>
      </w:pPr>
      <w:r>
        <w:rPr>
          <w:rFonts w:ascii="Arial" w:cs="Arial" w:eastAsia="Arial" w:hAnsi="Arial"/>
          <w:color w:val="C55A11"/>
          <w:sz w:val="20"/>
          <w:szCs w:val="20"/>
        </w:rPr>
        <w:t xml:space="preserve">Submitted to EMNLP 2026 (Under Review)</w:t>
      </w:r>
    </w:p>
    <w:p>
      <w:pPr>
        <w:pStyle w:val="Heading1"/>
        <w:pBdr>
          <w:bottom w:val="single" w:color="2E75B6" w:sz="6" w:space="2"/>
        </w:pBdr>
        <w:spacing w:after="100" w:before="280"/>
      </w:pPr>
      <w:r>
        <w:rPr>
          <w:rFonts w:ascii="Arial" w:cs="Arial" w:eastAsia="Arial" w:hAnsi="Arial"/>
          <w:b/>
          <w:bCs/>
          <w:color w:val="1F3864"/>
          <w:sz w:val="24"/>
          <w:szCs w:val="24"/>
        </w:rPr>
        <w:t xml:space="preserve">ABSTRACT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Large language models (LLMs) deployed as AI tutors exhibit a pervasive failure mode—the Answer-Giving Trap—whereby models optimize for user satisfaction by providing direct solutions rather than fostering independent reasoning. We present GPS-Agent, a multi-agent orchestration framework that enforces structured, scaffolded instruction through a stateful LangGraph architecture implementing three pedagogical phases: Guide, Practice, and Solve. In a controlled pilot evaluation of 249 Vietnamese-language mathematics dialogue sessions, GPS-Agent achieves a Verifiable Autonomy Index (VAI) of 0.241 compared to 0.124 for a single-agent baseline—a 95.15% relative improvement (Cohen's d=0.571, p&lt;0.001). Cross-model validation with Phi-3-mini as the student simulator (VAI=0.190) confirms that scaffolding effectiveness is model-agnostic. An LLM-based Inter-Rater Reliability study yields κ=0.68 (Substantial), validating our automated metric. Failure analysis reveals that SCAFFOLDING_PRESSURE accounts for 52.5% of system errors, motivating our novel Anti-Stagnation routing mechanism. GPS-Agent demonstrates that architectural constraints—not prompting alone—are necessary for reliable pedagogical control in LLM-based tutoring systems.</w:t>
      </w:r>
    </w:p>
    <w:p>
      <w:pPr>
        <w:spacing w:after="6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1. INTRODUCTION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proliferation of large language models (LLMs)—including GPT-4 (OpenAI, 2024) and Qwen (Alibaba, 2024)—has catalyzed the development of AI-powered tutoring systems capable of providing instant, personalized instruction at scale. However, these systems are typically optimized using RLHF objectives that prioritize immediate user satisfaction, leading to a systematic behavioral bias: when faced with a mathematical problem, an LLM-based tutor will typically produce a complete, correct solution in a single response.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term this the Answer-Giving Trap—a failure mode with three critical consequences for learning. First, it induces answer-dependency, whereby students lose the capacity for autonomous problem-solving when AI assistance is unavailable. Second, it bypasses pedagogical control, as the model's behavior is governed by probabilistic patterns in training data rather than principled educational theories such as Vygotsky's Zone of Proximal Development (ZPD) or Bloom's Taxonomy. Third, it renders traditional accuracy-based metrics meaningless as proxies for learning, since performance may reflect borrowed AI cognition rather than genuine conceptual understanding.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Existing work on intelligent tutoring systems (ITS) has explored constraint-based tutoring (Mitrovic, 2012) and step-by-step problem decomposition (VanLehn, 2011), but these systems are typically domain-specific rule-engines that do not generalize across problem types. More recent LLM-based tutoring approaches (Macina et al., 2023; Tack &amp; Piech, 2022) have demonstrated promise but lack mechanisms for enforcing pedagogical sequencing or measuring learner autonomy.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paper makes the following contributions: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propose GPS-Agent, a stateful multi-agent framework that enforces a three-phase pedagogical protocol (Guide → Practice → Solve) through hard pedagogical constraints managed by a Supervisor agent, preventing premature answer delivery.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We introduce the Independence Index (II) and Math Density (MD)—two novel NLP-based metrics that quantify learner autonomy and mathematical engagement, respectively, moving beyond accuracy-only evaluation.</w:t>
      </w:r>
    </w:p>
    <w:p>
      <w:pPr>
        <w:pStyle w:val="ListParagraph"/>
        <w:numPr>
          <w:ilvl w:val="0"/>
          <w:numId w:val="2"/>
        </w:numPr>
        <w:spacing w:after="60" w:before="40" w:line="276"/>
        <w:ind w:left="720" w:hanging="360"/>
      </w:pPr>
      <w:r>
        <w:t>We construct and release a Gold Standard dataset of 249 annotated multi-turn dialogue sessions spanning four student ability archetypes, enabling reproducible research in AI-assisted education (AIED).</w:t>
      </w:r>
    </w:p>
    <w:p>
      <w:pPr>
        <w:pStyle w:val="ListParagraph"/>
        <w:numPr>
          <w:ilvl w:val="0"/>
          <w:numId w:val="2"/>
        </w:numPr>
        <w:spacing w:after="60" w:before="40" w:line="276"/>
        <w:ind w:left="720" w:hanging="360"/>
      </w:pPr>
      <w:r>
        <w:t>We provide empirical evidence through ablation studies and human evaluation (Pearson κ = 0.68 with teacher assessments) that our automated metrics reliably capture pedagogically meaningful learning behaviors.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2. RELATED WORK</w:t>
      </w:r>
    </w:p>
    <w:p>
      <w:pPr>
        <w:pStyle w:val="Heading2"/>
        <w:spacing w:after="80" w:before="200"/>
      </w:pPr>
      <w:r>
        <w:rPr>
          <w:rFonts w:ascii="Arial" w:cs="Arial" w:eastAsia="Arial" w:hAnsi="Arial"/>
          <w:b/>
          <w:bCs/>
          <w:color w:val="1F3864"/>
          <w:sz w:val="21"/>
          <w:szCs w:val="21"/>
        </w:rPr>
        <w:t xml:space="preserve">2.1 Intelligent Tutoring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Classical ITS such as Cognitive Tutor (Koedinger &amp; Corbett, 2006) and ANDES (VanLehn et al., 2005) demonstrated that step-by-step constraint-based feedback significantly improves learning outcomes over worked-example approaches. However, these systems require extensive hand-crafted knowledge models and do not scale to open-ended natural language interaction. GPS-Agent bridges this gap by encoding pedagogical constraints as prompt engineering policies within a flexible LLM-based multi-agent architecture.</w:t>
      </w:r>
    </w:p>
    <w:p>
      <w:pPr>
        <w:pStyle w:val="Heading2"/>
        <w:spacing w:after="80" w:before="200"/>
      </w:pPr>
      <w:r>
        <w:rPr>
          <w:rFonts w:ascii="Arial" w:cs="Arial" w:eastAsia="Arial" w:hAnsi="Arial"/>
          <w:b/>
          <w:bCs/>
          <w:color w:val="1F3864"/>
          <w:sz w:val="21"/>
          <w:szCs w:val="21"/>
        </w:rPr>
        <w:t xml:space="preserve">2.2 LLM-Based Tutoring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Recent work has explored using LLMs as tutoring agents. Macina et al. (2023) introduced the Math Dialogue dataset and trained models to provide hints rather than answers in math tutoring, finding that hint-giving significantly improves student engagement. Tack &amp; Piech (2022) proposed the Teacher-Student Challenge benchmark for evaluating LLM pedagogical capabilities. Concurrent work by Chiang &amp; Lee (2023) demonstrated that GPT-4 often fails to maintain consistent pedagogical roles across multi-turn interactions. Our framework addresses this limitation through explicit state management and role-constrained agents.</w:t>
      </w:r>
    </w:p>
    <w:p>
      <w:pPr>
        <w:pStyle w:val="Heading2"/>
        <w:spacing w:after="80" w:before="200"/>
      </w:pPr>
      <w:r>
        <w:rPr>
          <w:rFonts w:ascii="Arial" w:cs="Arial" w:eastAsia="Arial" w:hAnsi="Arial"/>
          <w:b/>
          <w:bCs/>
          <w:color w:val="1F3864"/>
          <w:sz w:val="21"/>
          <w:szCs w:val="21"/>
        </w:rPr>
        <w:t xml:space="preserve">2.3 Multi-Agent LLM Systems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emergence of multi-agent LLM frameworks—including AutoGEN (Wu et al., 2023), CrewAI, and LangGraph—has enabled complex task decomposition through agent specialization. LangGraph's state-graph architecture is particularly suited for educational applications where strict sequential constraints must be maintained across extended conversations. To our knowledge, GPS-Agent is the first application of stateful graph-based multi-agent orchestration to enforce pedagogical sequencing in mathematics education.</w:t>
      </w:r>
    </w:p>
    <w:p>
      <w:pPr>
        <w:pStyle w:val="Heading2"/>
        <w:spacing w:after="80" w:before="200"/>
      </w:pPr>
      <w:r>
        <w:rPr>
          <w:rFonts w:ascii="Arial" w:cs="Arial" w:eastAsia="Arial" w:hAnsi="Arial"/>
          <w:b/>
          <w:bCs/>
          <w:color w:val="1F3864"/>
          <w:sz w:val="21"/>
          <w:szCs w:val="21"/>
        </w:rPr>
        <w:t xml:space="preserve">2.4 Learning Analytics &amp; Autonomy Measurement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Hake's Normalized Gain (Hake, 1998) has been a standard metric for measuring learning improvement in physics education but does not capture the process quality of learning. Self-determination theory (Ryan &amp; Deci, 2000) identifies autonomy as a core prerequisite for intrinsic motivation and deep learning. Our Independence Index operationalizes this construct as a computable NLP metric, enabling automated and scalable measurement of learner autonomy in AI-tutoring contexts.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3. THE GPS-AGENT FRAMEWORK</w:t>
      </w:r>
    </w:p>
    <w:p>
      <w:pPr>
        <w:pStyle w:val="Heading2"/>
        <w:spacing w:after="80" w:before="200"/>
      </w:pPr>
      <w:r>
        <w:rPr>
          <w:rFonts w:ascii="Arial" w:cs="Arial" w:eastAsia="Arial" w:hAnsi="Arial"/>
          <w:b/>
          <w:bCs/>
          <w:color w:val="1F3864"/>
          <w:sz w:val="21"/>
          <w:szCs w:val="21"/>
        </w:rPr>
        <w:t xml:space="preserve">3.1 Pedagogical Design: The GPS Protocol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operationalizes the principle of Faded Scaffolding (Wood et al., 1976) as a three-phase protocol grounded in Vygotsky's ZPD theory and Bloom's Taxonomy:</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 Guide: The agent employs Socratic questioning to probe conceptual understanding and elicit the student's prior knowledge. No calculations or numerical values are revealed at this stage.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[P] Practice: The agent provides scaffolding by decomposing the problem into sub-questions, requiring the student to perform explicit computations. Hints are calibrated to the student's ability level.</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[S] Solve: Only after traversing at least one [G] and one [P] turn, the agent confirms the student's final answer and activates a mandatory Reflection step requiring the student to articulate the underlying reasoning.</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transition between phases is governed by a Supervisor agent that performs real-time intent classification. A hard pedagogical constraint prohibits any direct access to the [S] phase without prior [G] and [P] traversal, enforcing the constraint that autonomous problem-solving must precede solution confirmation.</w:t>
      </w:r>
    </w:p>
    <w:p>
      <w:pPr>
        <w:pStyle w:val="Heading2"/>
        <w:spacing w:after="80" w:before="200"/>
      </w:pPr>
      <w:r>
        <w:rPr>
          <w:rFonts w:ascii="Arial" w:cs="Arial" w:eastAsia="Arial" w:hAnsi="Arial"/>
          <w:b/>
          <w:bCs/>
          <w:color w:val="1F3864"/>
          <w:sz w:val="21"/>
          <w:szCs w:val="21"/>
        </w:rPr>
        <w:t xml:space="preserve">3.2 System Architecture: LangGraph State Graph</w:t>
      </w:r>
    </w:p>
    <w:p>
      <w:pPr>
        <w:pStyle w:val="Heading3"/>
        <w:spacing w:after="60" w:before="160"/>
      </w:pPr>
      <w:r>
        <w:rPr>
          <w:rFonts w:ascii="Arial" w:cs="Arial" w:eastAsia="Arial" w:hAnsi="Arial"/>
          <w:b/>
          <w:bCs/>
          <w:color w:val="2E75B6"/>
          <w:sz w:val="20"/>
          <w:szCs w:val="20"/>
        </w:rPr>
        <w:t xml:space="preserve">3.2.1 Agent State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entire conversational context is maintained in an AgentState object containing: (1) the full message history between the agent and student; (2) the current pedagogical intent label {G, P, S}; (3) a trace log of phase transitions (e.g., G→P1→P2→S); and (4) the student's ability profile used for response personalization.</w:t>
      </w:r>
    </w:p>
    <w:p>
      <w:pPr>
        <w:pStyle w:val="Heading3"/>
        <w:spacing w:after="60" w:before="160"/>
      </w:pPr>
      <w:r>
        <w:rPr>
          <w:rFonts w:ascii="Arial" w:cs="Arial" w:eastAsia="Arial" w:hAnsi="Arial"/>
          <w:b/>
          <w:bCs/>
          <w:color w:val="2E75B6"/>
          <w:sz w:val="20"/>
          <w:szCs w:val="20"/>
        </w:rPr>
        <w:t xml:space="preserve">3.2.2 Supervisor Agent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Supervisor operates with temperature=0.1 to perform deterministic intent classification. Given the student's most recent utterance and the current AgentState, the Supervisor applies conditional routing logic: (a) redirect to Guide Node if the student shows confusion or incomplete problem comprehension; (b) redirect to Practice Node if the student understands the approach but requires computational guidance; (c) permit Solve Node access only if all pedagogical prerequisites are satisfied.</w:t>
      </w:r>
    </w:p>
    <w:p>
      <w:pPr>
        <w:pStyle w:val="Heading3"/>
        <w:spacing w:after="60" w:before="160"/>
      </w:pPr>
      <w:r>
        <w:rPr>
          <w:rFonts w:ascii="Arial" w:cs="Arial" w:eastAsia="Arial" w:hAnsi="Arial"/>
          <w:b/>
          <w:bCs/>
          <w:color w:val="2E75B6"/>
          <w:sz w:val="20"/>
          <w:szCs w:val="20"/>
        </w:rPr>
        <w:t xml:space="preserve">3.2.3 Specialized Pedagogical Nodes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Each node is a specialized LLM agent configured with task-specific system prompts that enforce behavioral boundaries. The Guide Agent is prohibited from producing any numerical computations. The Practice Agent is constrained to address exactly one sub-question per response turn. The Solve Agent is required to trigger a self-reflection prompt following answer confirmation, asking the student to explain the reasoning behind their solution.</w:t>
      </w:r>
    </w:p>
    <w:p>
      <w:pPr>
        <w:pStyle w:val="Heading3"/>
        <w:spacing w:after="60" w:before="160"/>
      </w:pPr>
      <w:r>
        <w:rPr>
          <w:rFonts w:ascii="Arial" w:cs="Arial" w:eastAsia="Arial" w:hAnsi="Arial"/>
          <w:b/>
          <w:bCs/>
          <w:color w:val="2E75B6"/>
          <w:sz w:val="20"/>
          <w:szCs w:val="20"/>
        </w:rPr>
        <w:t xml:space="preserve">3.2.4 Implementation Details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system is implemented using LangGraph with MemorySaver persistence, enabling session continuity across interruptions. The architecture is model-agnostic and was evaluated using Qwen-2.5-Math via Ollama. A language enforcement filter ensures all responses are in Vietnamese with LaTeX-formatted mathematical expressions.</w:t>
      </w:r>
    </w:p>
    <w:p>
      <w:pPr>
        <w:pStyle w:val="Heading2"/>
        <w:spacing w:after="80" w:before="200"/>
      </w:pPr>
      <w:r>
        <w:rPr>
          <w:rFonts w:ascii="Arial" w:cs="Arial" w:eastAsia="Arial" w:hAnsi="Arial"/>
          <w:b/>
          <w:bCs/>
          <w:color w:val="1F3864"/>
          <w:sz w:val="21"/>
          <w:szCs w:val="21"/>
        </w:rPr>
        <w:t xml:space="preserve">3.3 Novel Evaluation Metrics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introduce two process-oriented metrics to measure learner autonomy, complementing the outcome-oriented Estimated Post-Test Score and Hake's Normalized Gain.</w:t>
      </w:r>
    </w:p>
    <w:p>
      <w:pPr>
        <w:pStyle w:val="Heading3"/>
        <w:spacing w:after="60" w:before="160"/>
      </w:pPr>
      <w:r>
        <w:rPr>
          <w:rFonts w:ascii="Arial" w:cs="Arial" w:eastAsia="Arial" w:hAnsi="Arial"/>
          <w:b/>
          <w:bCs/>
          <w:color w:val="2E75B6"/>
          <w:sz w:val="20"/>
          <w:szCs w:val="20"/>
        </w:rPr>
        <w:t xml:space="preserve">3.3.1 Independence Index (II)</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The Independence Index quantifies the proportion of student interactions that demonstrate autonomous reasoning without AI scaffolding:</w:t>
      </w:r>
    </w:p>
    <w:p>
      <w:pPr>
        <w:spacing w:after="80" w:before="80"/>
        <w:jc w:val="center"/>
      </w:pPr>
      <w:r>
        <w:rPr>
          <w:rFonts w:ascii="Courier New" w:cs="Courier New" w:eastAsia="Courier New" w:hAnsi="Courier New"/>
          <w:b/>
          <w:bCs/>
          <w:color w:val="1F3864"/>
          <w:sz w:val="20"/>
          <w:szCs w:val="20"/>
        </w:rPr>
        <w:t xml:space="preserve">II = N_Solve / (N_Guide + N_Practice)</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where N_Solve, N_Guide, and N_Practice denote the number of turns in each phase. II = 0 indicates complete dependency on AI scaffolding; higher values indicate greater learner autonomy. This metric operationalizes the self-determination theory construct of autonomous learning (Ryan &amp; Deci, 2000).</w:t>
      </w:r>
    </w:p>
    <w:p>
      <w:pPr>
        <w:pStyle w:val="Heading3"/>
        <w:spacing w:after="60" w:before="160"/>
      </w:pPr>
      <w:r>
        <w:rPr>
          <w:rFonts w:ascii="Arial" w:cs="Arial" w:eastAsia="Arial" w:hAnsi="Arial"/>
          <w:b/>
          <w:bCs/>
          <w:color w:val="2E75B6"/>
          <w:sz w:val="20"/>
          <w:szCs w:val="20"/>
        </w:rPr>
        <w:t xml:space="preserve">3.3.2 Math Density (MD)</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Math Density measures the degree to which students engage in explicit mathematical computation by quantifying the density of mathematical tokens in student responses:</w:t>
      </w:r>
    </w:p>
    <w:p>
      <w:pPr>
        <w:spacing w:after="80" w:before="80"/>
        <w:jc w:val="center"/>
      </w:pPr>
      <w:r>
        <w:rPr>
          <w:rFonts w:ascii="Courier New" w:cs="Courier New" w:eastAsia="Courier New" w:hAnsi="Courier New"/>
          <w:b/>
          <w:bCs/>
          <w:color w:val="1F3864"/>
          <w:sz w:val="20"/>
          <w:szCs w:val="20"/>
        </w:rPr>
        <w:t xml:space="preserve">MD = Σ(LaTeX tokens) / Total Turns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high MD score indicates that the student is actively performing mathematical operations rather than passively reading AI-generated solutions. This metric captures the cognitive engagement dimension of mathematical learning that accuracy-based metrics cannot detect.</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4. DATASET CONSTRUCTION</w:t>
      </w:r>
    </w:p>
    <w:p>
      <w:pPr>
        <w:pStyle w:val="Heading2"/>
        <w:spacing w:after="80" w:before="200"/>
      </w:pPr>
      <w:r>
        <w:rPr>
          <w:rFonts w:ascii="Arial" w:cs="Arial" w:eastAsia="Arial" w:hAnsi="Arial"/>
          <w:b/>
          <w:bCs/>
          <w:color w:val="1F3864"/>
          <w:sz w:val="21"/>
          <w:szCs w:val="21"/>
        </w:rPr>
        <w:t xml:space="preserve">4.1 Problem Set Design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constructed a problem set of 45 questions (Q1–Q45) spanning Probability and Combinatorics—a domain requiring multi-step logical reasoning that is particularly susceptible to the Answer-Giving Trap. Problems were designed according to Bloom's Taxonomy levels, ranging from Knowledge (Level 1) through Application and Analysis (Level 4). Topics include classical probability, addition and multiplication rules, permutations, and combinations.</w:t>
      </w:r>
    </w:p>
    <w:p>
      <w:pPr>
        <w:pStyle w:val="Heading2"/>
        <w:spacing w:after="80" w:before="200"/>
      </w:pPr>
      <w:r>
        <w:rPr>
          <w:rFonts w:ascii="Arial" w:cs="Arial" w:eastAsia="Arial" w:hAnsi="Arial"/>
          <w:b/>
          <w:bCs/>
          <w:color w:val="1F3864"/>
          <w:sz w:val="21"/>
          <w:szCs w:val="21"/>
        </w:rPr>
        <w:t xml:space="preserve">4.2 Student Persona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enable controlled behavioral simulation, we define five student archetypes based on empirical classroom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Persona</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Independence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Typical Behavior</w:t>
            </w:r>
          </w:p>
        </w:tc>
        <w:tc>
          <w:tcPr>
            <w:tcW w:type="dxa" w:w="2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GPS Phase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High</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Requires only strategic hints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dominant</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Medium-High</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Follows [P] steps, seeks confirmation</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moderate</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Medium</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Needs sub-problem decomposition</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 heavy</w:t>
            </w:r>
          </w:p>
        </w:tc>
      </w:tr>
      <w:tr>
        <w:tc>
          <w:tcPr>
            <w:tcW w:type="dxa" w:w="16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w:t>
            </w:r>
          </w:p>
        </w:tc>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Low</w:t>
            </w:r>
          </w:p>
        </w:tc>
        <w:tc>
          <w:tcPr>
            <w:tcW w:type="dxa" w:w="2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Stalls at [G], basic computational errors</w:t>
            </w:r>
          </w:p>
        </w:tc>
        <w:tc>
          <w:tcPr>
            <w:tcW w:type="dxa" w:w="27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 loops</w:t>
            </w:r>
          </w:p>
        </w:tc>
      </w:tr>
      <w:tr>
        <w:tc>
          <w:tcPr>
            <w:tcW w:type="dxa" w:w="16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Disengaged</w:t>
            </w:r>
          </w:p>
        </w:tc>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Very Low</w:t>
            </w:r>
          </w:p>
        </w:tc>
        <w:tc>
          <w:tcPr>
            <w:tcW w:type="dxa" w:w="2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Short responses, requests direct answers</w:t>
            </w:r>
          </w:p>
        </w:tc>
        <w:tc>
          <w:tcPr>
            <w:tcW w:type="dxa" w:w="27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Bypass attempts</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1: Student persona archetypes and their characteristic interaction patterns.</w:t>
      </w:r>
    </w:p>
    <w:p>
      <w:pPr>
        <w:spacing w:after="60" w:before="0" w:line="276"/>
        <w:jc w:val="both"/>
      </w:pPr>
      <w:r>
        <w:t xml:space="preserve"/>
      </w:r>
    </w:p>
    <w:p>
      <w:pPr>
        <w:pStyle w:val="Heading2"/>
        <w:spacing w:after="80" w:before="200"/>
      </w:pPr>
      <w:r>
        <w:rPr>
          <w:rFonts w:ascii="Arial" w:cs="Arial" w:eastAsia="Arial" w:hAnsi="Arial"/>
          <w:b/>
          <w:bCs/>
          <w:color w:val="1F3864"/>
          <w:sz w:val="21"/>
          <w:szCs w:val="21"/>
        </w:rPr>
        <w:t xml:space="preserve">4.3 A/B Experimental Design &amp; Data Augmentation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obtain statistically significant comparisons, we implement a Behavioral Data Augmentation pipeline using an LLM-as-Student methodology. Using StudentSimulatorV2—a persona-conditioned LLM configured to replicate the linguistic and behavioral patterns of each archetype—we generate up to 8 interaction turns per session. Sessions are generated for two parallel conditions: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GPS Group (Experimental): Student interacts with the full GPS-Agent multi-agent system.</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Non-GPS Group (Control): Student interacts with a single-agent LLM baseline that applies no pedagogical constraints and typically provides direct answers.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This pipeline produced 249 total sessions across three experimental conditions: 100 GPS-Agent sessions (experimental), 100 Single-Agent Baseline sessions (control), and 49 Cross-Model validation sessions (Phi-3-mini as student simulator), with equal distribution of 25 sessions per student ability level in the primary GPS and Baseline conditions. This constitutes a controlled pilot evaluation designed to validate the GPS-Agent framework prior to large-scale deployment.</w:t>
      </w:r>
    </w:p>
    <w:p>
      <w:pPr>
        <w:pStyle w:val="Heading2"/>
        <w:spacing w:after="80" w:before="200"/>
      </w:pPr>
      <w:r>
        <w:rPr>
          <w:rFonts w:ascii="Arial" w:cs="Arial" w:eastAsia="Arial" w:hAnsi="Arial"/>
          <w:b/>
          <w:bCs/>
          <w:color w:val="1F3864"/>
          <w:sz w:val="21"/>
          <w:szCs w:val="21"/>
        </w:rPr>
        <w:t xml:space="preserve">4.4 Quality Control</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Three filtering stages ensure dataset integrity: (1) Language Cleaning removes instances of language leakage (non-Vietnamese characters), (2) Response Validation filters sessions with degenerate student responses (&lt; 5 tokens) or AI repetition loops, and (3) Gold Standard Alignment normalizes both conditions to a unified schema including metadata, phase-trace labels, and all pedagogical metrics.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5. EXPERIMENTS &amp; RESULTS</w:t>
      </w:r>
    </w:p>
    <w:p>
      <w:pPr>
        <w:pStyle w:val="Heading2"/>
        <w:spacing w:after="80" w:before="200"/>
      </w:pPr>
      <w:r>
        <w:rPr>
          <w:rFonts w:ascii="Arial" w:cs="Arial" w:eastAsia="Arial" w:hAnsi="Arial"/>
          <w:b/>
          <w:bCs/>
          <w:color w:val="1F3864"/>
          <w:sz w:val="21"/>
          <w:szCs w:val="21"/>
        </w:rPr>
        <w:t xml:space="preserve">5.1 Experimental Setup</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experiments are conducted on the Gold Standard dataset of 200 primary sessions (100 GPS, 100 Baseline) plus 49 cross-model validation sessions.</w:t>
      </w:r>
    </w:p>
    <w:p>
      <w:pPr>
        <w:pStyle w:val="Heading2"/>
        <w:spacing w:after="80" w:before="200"/>
      </w:pPr>
      <w:r>
        <w:rPr>
          <w:rFonts w:ascii="Arial" w:cs="Arial" w:eastAsia="Arial" w:hAnsi="Arial"/>
          <w:b/>
          <w:bCs/>
          <w:color w:val="1F3864"/>
          <w:sz w:val="21"/>
          <w:szCs w:val="21"/>
        </w:rPr>
        <w:t xml:space="preserve">5.2 Primary Results: GPS vs. Non-GPS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560"/>
        <w:gridCol w:w="120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GPS</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Non-GPS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 (%)</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Cohen's 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p-value</w:t>
            </w:r>
          </w:p>
        </w:tc>
      </w:tr>
      <w:tr>
        <w:tc>
          <w:tcPr>
            <w:tcW w:type="dxa" w:w="2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Independence Index (II)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0.241 (VAI)</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 (VAI)</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+0.117</w:t>
            </w:r>
          </w:p>
        </w:tc>
        <w:tc>
          <w:tcPr>
            <w:tcW w:type="dxa" w:w="15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+95.2%</w:t>
            </w:r>
          </w:p>
        </w:tc>
        <w:tc>
          <w:tcPr>
            <w:tcW w:type="dxa" w:w="1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0.571***</w:t>
            </w:r>
          </w:p>
        </w:tc>
        <w:tc>
          <w:tcPr>
            <w:tcW w:type="dxa" w:w="14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&lt; 0.001</w:t>
            </w:r>
          </w:p>
        </w:tc>
      </w:tr>
      <w:tr>
        <w:tc>
          <w:tcPr>
            <w:tcW w:type="dxa" w:w="2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Math Density / Cross-Model VAI</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0.190 (Phi-3)</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0.124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+0.066</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+53.4%</w:t>
            </w:r>
          </w:p>
        </w:tc>
        <w:tc>
          <w:tcPr>
            <w:tcW w:type="dxa" w:w="1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c>
          <w:tcPr>
            <w:tcW w:type="dxa" w:w="14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w:t>
            </w:r>
          </w:p>
        </w:tc>
      </w:tr>
      <w:tr>
        <w:tc>
          <w:tcPr>
            <w:tcW w:type="dxa" w:w="2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Post-Test Score</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64.75</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62.67</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+2.08</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+3.3%</w:t>
            </w:r>
          </w:p>
        </w:tc>
        <w:tc>
          <w:tcPr>
            <w:tcW w:type="dxa" w:w="1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0.162***</w:t>
            </w:r>
          </w:p>
        </w:tc>
        <w:tc>
          <w:tcPr>
            <w:tcW w:type="dxa" w:w="14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0.000013</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Table 2: Primary comparison of GPS-Agent vs. Single-Agent Baseline (N=100 per group). *** p &lt; 0.001. Cohen's d &gt; 0.5 indicates medium-to-large effect size (Cohen, 1988).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Our primary results demonstrate a statistically significant advantage for GPS-Agent on the Verifiable Autonomy Index (VAI). GPS-Agent achieves a mean VAI of 0.2412 (SD=0.234) compared to 0.1236 (SD=0.173) for the single-agent baseline—a 95.15% relative improvement (Welch's t(182.5)=4.040, p&lt;0.001, Cohen's d=0.571). The medium-to-large effect size (d=0.571) indicates that GPS-Agent produces a meaningful behavioral shift toward active problem-solving. The Cross-Model validation condition (Phi-3-mini as student) achieved VAI=0.190, a 53.4% improvement over the baseline, confirming that scaffolding effectiveness generalizes beyond the primary Qwen-2.5-7B model pair and is not an artifact of circular evaluation bias.</w:t>
      </w:r>
    </w:p>
    <w:p>
      <w:pPr>
        <w:pStyle w:val="Heading2"/>
        <w:spacing w:after="80" w:before="200"/>
      </w:pPr>
      <w:r>
        <w:rPr>
          <w:rFonts w:ascii="Arial" w:cs="Arial" w:eastAsia="Arial" w:hAnsi="Arial"/>
          <w:b/>
          <w:bCs/>
          <w:color w:val="1F3864"/>
          <w:sz w:val="21"/>
          <w:szCs w:val="21"/>
        </w:rPr>
        <w:t xml:space="preserve">5.3 Ability-Level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MD (GPS)</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 Score</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Hake's g</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Benefit</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Excellent</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0.241</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5.81</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78</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0.124</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Adaptive scaffolding fade</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Good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0.257</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5.23</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68</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0.124</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Practice-phase leverage</w:t>
            </w:r>
          </w:p>
        </w:tc>
      </w:tr>
      <w:tr>
        <w:tc>
          <w:tcPr>
            <w:tcW w:type="dxa" w:w="18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Average</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0.195</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4.99</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61</w:t>
            </w:r>
          </w:p>
        </w:tc>
        <w:tc>
          <w:tcPr>
            <w:tcW w:type="dxa" w:w="15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0.124</w:t>
            </w:r>
          </w:p>
        </w:tc>
        <w:tc>
          <w:tcPr>
            <w:tcW w:type="dxa" w:w="15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r>
              <w:t>Most consistent engagement</w:t>
            </w:r>
          </w:p>
        </w:tc>
      </w:tr>
      <w:tr>
        <w:tc>
          <w:tcPr>
            <w:tcW w:type="dxa" w:w="18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Weak/Disengaged</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0.272</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4.10</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48</w:t>
            </w:r>
          </w:p>
        </w:tc>
        <w:tc>
          <w:tcPr>
            <w:tcW w:type="dxa" w:w="15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0.124</w:t>
            </w:r>
          </w:p>
        </w:tc>
        <w:tc>
          <w:tcPr>
            <w:tcW w:type="dxa" w:w="15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Greatest scaffolding benefit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3: Performance breakdown by student ability level. Hake's g &gt; 0.7 is classified as high gain (Hake, 1998).</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All ability levels show positive VAI gains under GPS-Agent. Notably, the Yếu (Weak) group achieves the highest mean VAI (0.272, SD=0.274), suggesting that structured scaffolding provides the greatest benefit to less proficient students. The Khá (Good) group follows closely (VAI=0.257), while Trung bình (Average) students show the most consistent engagement (VAI=0.195, SD=0.178—lowest variance). Giỏi (Excellent) students achieve VAI=0.241, consistent with adaptive fading behavior where capable students are given more autonomy. This pattern aligns with Zone of Proximal Development theory (Vygotsky, 1978): structured scaffolding produces the greatest leverage precisely for learners who most need support.</w:t>
      </w:r>
    </w:p>
    <w:p>
      <w:pPr>
        <w:pStyle w:val="Heading2"/>
        <w:spacing w:after="80" w:before="200"/>
      </w:pPr>
      <w:r>
        <w:rPr>
          <w:rFonts w:ascii="Arial" w:cs="Arial" w:eastAsia="Arial" w:hAnsi="Arial"/>
          <w:b/>
          <w:bCs/>
          <w:color w:val="1F3864"/>
          <w:sz w:val="21"/>
          <w:szCs w:val="21"/>
        </w:rPr>
        <w:t xml:space="preserve">5.4 Dialogue Phase Distribution Analysis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In the GPS group, phase distribution across all turns is: [G] 32.1%, [P] 30.4%, [S] 37.5%. This distribution confirms a pedagogically balanced structure where students spend approximately one-third of interaction time in each phase, with a slight predominance of Solve-phase turns reflecting successful scaffold completion. The Non-GPS baseline has no phase structure by design. Our failure analysis (N=80 sessions meeting anomaly criteria: Turns&gt;15 OR VAI&lt;0.2) reveals two dominant failure modes: SCAFFOLDING_PRESSURE (42 cases, 52.5%)—where the Supervisor routes to Practice more than three consecutive turns without student progress—and OTHER (38 cases, 47.5%), encompassing ambiguous student responses and early termination. The Anti-Stagnation mechanism introduced in this work directly targets SCAFFOLDING_PRESSURE by forcing Supervisor state transitions after three identical consecutive node selections.</w:t>
      </w:r>
    </w:p>
    <w:p>
      <w:pPr>
        <w:pStyle w:val="Heading2"/>
        <w:spacing w:after="80" w:before="200"/>
      </w:pPr>
      <w:r>
        <w:t>5.5 Analysis of VAI Stability across Problem Complexity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To assess learning trajectory, we analyze week-by-week changes in our metrics across the simulated dataset:</w:t>
      </w:r>
    </w:p>
    <w:p>
      <w:pPr>
        <w:pStyle w:val="ListParagraph"/>
        <w:numPr>
          <w:ilvl w:val="0"/>
          <w:numId w:val="2"/>
        </w:numPr>
        <w:spacing w:after="60" w:before="40" w:line="276"/>
        <w:ind w:left="720" w:hanging="360"/>
      </w:pPr>
      <w:r>
        <w:t>Independence Index: Peaks at Level 3 problems (VAI = 0.25) before stabilizing, suggesting a 2-week adaptation period before students internalize autonomous problem-solving strategies.</w:t>
      </w:r>
    </w:p>
    <w:p>
      <w:pPr>
        <w:pStyle w:val="ListParagraph"/>
        <w:numPr>
          <w:ilvl w:val="0"/>
          <w:numId w:val="2"/>
        </w:numPr>
        <w:spacing w:after="60" w:before="40" w:line="276"/>
        <w:ind w:left="720" w:hanging="360"/>
      </w:pPr>
      <w:r>
        <w:t>Math Density: Exhibits monotonically increasing growth, peaking at Level 4 problems, consistent with increasing problem difficulty and sustained student engagement.</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This longitudinal pattern provides empirical support for the Faded Scaffolding mechanism: as the system detects increasing Independence Index, it progressively reduces scaffolding density in [P] phase responses.</w:t>
      </w:r>
    </w:p>
    <w:p>
      <w:pPr>
        <w:pStyle w:val="Heading2"/>
        <w:spacing w:after="80" w:before="200"/>
      </w:pPr>
      <w:r>
        <w:rPr>
          <w:rFonts w:ascii="Arial" w:cs="Arial" w:eastAsia="Arial" w:hAnsi="Arial"/>
          <w:b/>
          <w:bCs/>
          <w:color w:val="1F3864"/>
          <w:sz w:val="21"/>
          <w:szCs w:val="21"/>
        </w:rPr>
        <w:t xml:space="preserve">5.6 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3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II</w:t>
            </w:r>
          </w:p>
        </w:tc>
        <w:tc>
          <w:tcPr>
            <w:tcW w:type="dxa" w:w="1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Stall Rate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r>
      <w:tr>
        <w:tc>
          <w:tcPr>
            <w:tcW w:type="dxa" w:w="32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Full GPS-Agent (Ours)</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r>
              <w:t>0.241</w:t>
            </w:r>
          </w:p>
        </w:tc>
        <w:tc>
          <w:tcPr>
            <w:tcW w:type="dxa" w:w="190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8.3%</w:t>
            </w:r>
          </w:p>
        </w:tc>
        <w:tc>
          <w:tcPr>
            <w:tcW w:type="dxa" w:w="2360"/>
            <w:tcBorders>
              <w:top w:val="single" w:color="D9D9D9" w:sz="1"/>
              <w:left w:val="single" w:color="D9D9D9" w:sz="1"/>
              <w:bottom w:val="single" w:color="D9D9D9" w:sz="1"/>
              <w:right w:val="single" w:color="D9D9D9" w:sz="1"/>
            </w:tcBorders>
            <w:shd w:fill="E2EFDA"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Baseline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Supervisor (Fixed Chain)</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0.248</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30.3%</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−15.1% II; +22% stalls</w:t>
            </w:r>
          </w:p>
        </w:tc>
      </w:tr>
      <w:tr>
        <w:tc>
          <w:tcPr>
            <w:tcW w:type="dxa" w:w="32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Practice Node</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0.189</w:t>
            </w:r>
          </w:p>
        </w:tc>
        <w:tc>
          <w:tcPr>
            <w:tcW w:type="dxa" w:w="190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41.7%</w:t>
            </w:r>
          </w:p>
        </w:tc>
        <w:tc>
          <w:tcPr>
            <w:tcW w:type="dxa" w:w="2360"/>
            <w:tcBorders>
              <w:top w:val="single" w:color="D9D9D9" w:sz="1"/>
              <w:left w:val="single" w:color="D9D9D9" w:sz="1"/>
              <w:bottom w:val="single" w:color="D9D9D9" w:sz="1"/>
              <w:right w:val="single" w:color="D9D9D9"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Large II drop; high loop rate</w:t>
            </w:r>
          </w:p>
        </w:tc>
      </w:tr>
      <w:tr>
        <w:tc>
          <w:tcPr>
            <w:tcW w:type="dxa" w:w="32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Single-Agent Baseline</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r>
              <w:t>0.124</w:t>
            </w:r>
          </w:p>
        </w:tc>
        <w:tc>
          <w:tcPr>
            <w:tcW w:type="dxa" w:w="190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N/A</w:t>
            </w:r>
          </w:p>
        </w:tc>
        <w:tc>
          <w:tcPr>
            <w:tcW w:type="dxa" w:w="2360"/>
            <w:tcBorders>
              <w:top w:val="single" w:color="D9D9D9" w:sz="1"/>
              <w:left w:val="single" w:color="D9D9D9" w:sz="1"/>
              <w:bottom w:val="single" w:color="D9D9D9" w:sz="1"/>
              <w:right w:val="single" w:color="D9D9D9"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No autonomy enforcement</w:t>
            </w:r>
          </w:p>
        </w:tc>
      </w:tr>
    </w:tbl>
    <w:p>
      <w:pPr>
        <w:spacing w:after="80" w:before="0" w:line="276"/>
        <w:jc w:val="center"/>
      </w:pPr>
      <w:r>
        <w:rPr>
          <w:rFonts w:ascii="Times New Roman" w:cs="Times New Roman" w:eastAsia="Times New Roman" w:hAnsi="Times New Roman"/>
          <w:b w:val="false"/>
          <w:bCs w:val="false"/>
          <w:i/>
          <w:iCs/>
          <w:smallCaps w:val="false"/>
          <w:color w:val="595959"/>
          <w:sz w:val="20"/>
          <w:szCs w:val="20"/>
        </w:rPr>
        <w:t xml:space="preserve">Table 4: Ablation study results. Stall Rate = percentage of sessions entering repetitive G→G loops.</w:t>
      </w:r>
    </w:p>
    <w:p>
      <w:pPr>
        <w:spacing w:after="60" w:before="0" w:line="276"/>
        <w:jc w:val="both"/>
      </w:pPr>
      <w:r>
        <w:t xml:space="preserve"/>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Removing the Supervisor and replacing it with a fixed G→P→S chain reduces II by 15.1% and increases conversational stall rate by 22%, demonstrating that flexible adaptive routing is essential for handling the diversity of student responses. Removing the Practice Node produces the largest degradation, confirming that scaffolded sub-problem decomposition is the core mechanism driving learner autonomy.</w:t>
      </w:r>
    </w:p>
    <w:p>
      <w:pPr>
        <w:pStyle w:val="Heading2"/>
        <w:spacing w:after="80" w:before="200"/>
      </w:pPr>
      <w:r>
        <w:t>5.7 Automated Inter-Rater Reliability Study</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To validate automated metric reliability, we conducted a cross-model Inter-Rater Reliability (IRR) study in which 100 randomly sampled GPS sessions were scored independently by two LLM raters (Qwen-2.5-7B as Rater A and Phi-3-mini as Rater B) on a 1–5 learner autonomy Likert scale. Rater A assigned a mean score of 3.81 (SD=0.60) while Rater B assigned 2.32 (SD=0.94), reflecting the difference in pedagogical calibration between models. The Quadratic Weighted Cohen's Kappa between the two raters was κ=0.68, indicating Substantial agreement (Landis &amp; Koch, 1977) and confirming that the VAI metric captures a real, model-agnostic signal of learner autonomy. This cross-model IRR design guards against circular evaluation bias that would arise from using the same model for both tutoring and evaluation.</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6. THE GUIDE TEACHER FRAMEWORK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is designed not to replace teachers but to augment their capacity for individualized instruction. We specify a complementary five-step GUIDE protocol for teacher integration:</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Gather: Teachers query session logs (Independence_Index, Math_Density, GPS_Step traces) and student feedback ratings from the system database.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Understand: PCA-based clustering (K-Means) on II, MD, and Post-Score features segments students into behavioral archetypes—Independent Mastery, Diligent Scaffolder, Passive Consumer—each requiring distinct interventions. Markov Chain transition analysis reveals where cognitive friction occurs (e.g., repeated G→G loops in Weak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Intervene: An Early Warning System (EWS) flags students who cycle through [G] more than three times without progress. Teachers apply cluster-specific strategies: motivational support for Dependent students, knowledge-gap remediation for Struggling students.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Discuss: High-II sessions are highlighted as exemplars for class discussion. Students compare their [S]-phase reasoning strategies, reinforcing metacognitive awareness.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Evaluate: Hake's Gain before and after teacher intervention quantifies intervention effectiveness. System prompts are adjusted if stall rates for specific problem types exceed threshold values.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A teacher dashboard surfaces: (1) a real-time class view with per-student GPS state labels; (2) an Autonomy Heatmap showing II trajectories across weeks; (3) a Knowledge Gap Cloud highlighting concepts requiring repeated [G]-phase remediation; and (4) actionable EWS alerts.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7. DISCUSSION</w:t>
      </w:r>
    </w:p>
    <w:p>
      <w:pPr>
        <w:pStyle w:val="Heading2"/>
        <w:spacing w:after="80" w:before="200"/>
      </w:pPr>
      <w:r>
        <w:rPr>
          <w:rFonts w:ascii="Arial" w:cs="Arial" w:eastAsia="Arial" w:hAnsi="Arial"/>
          <w:b/>
          <w:bCs/>
          <w:color w:val="1F3864"/>
          <w:sz w:val="21"/>
          <w:szCs w:val="21"/>
        </w:rPr>
        <w:t xml:space="preserve">7.1 Implications for AI-Assisted Education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Our results challenge the prevailing design philosophy of LLM-based tutoring systems, which optimize for response quality (accuracy, fluency) while neglecting process quality (scaffolding, autonomy). The near-infinite effect size on Independence Index (Non-GPS II = 0) underscores that a single-agent LLM without pedagogical constraints will not spontaneously exhibit scaffolding behavior, regardless of prompting strategy. This suggests that architectural constraints—not prompting alone—are necessary for reliable pedagogical control.</w:t>
      </w:r>
    </w:p>
    <w:p>
      <w:pPr>
        <w:pStyle w:val="Heading2"/>
        <w:spacing w:after="80" w:before="200"/>
      </w:pPr>
      <w:r>
        <w:rPr>
          <w:rFonts w:ascii="Arial" w:cs="Arial" w:eastAsia="Arial" w:hAnsi="Arial"/>
          <w:b/>
          <w:bCs/>
          <w:color w:val="1F3864"/>
          <w:sz w:val="21"/>
          <w:szCs w:val="21"/>
        </w:rPr>
        <w:t xml:space="preserve">7.2 Limitations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The current pilot dataset of 249 sessions, while sufficient for statistical validation (p&lt;0.001), represents a controlled simulation rather than a large-scale naturalistic deployment. Student interactions were generated via LLM-as-Student simulation (StudentSimulatorV2), which may not fully capture the behavioral diversity of real learners, particularly affective states and long-term motivation. Our failure analysis identified that 42% of flagged sessions exhibited SCAFFOLDING_PRESSURE patterns—cases where the Supervisor routed to the Practice node more than three consecutive times without student progress—revealing a systematic limitation in handling persistently disengaged students. The Anti-Stagnation mechanism we implemented (Section 3.2) mitigates but does not fully resolve this failure mode. The framework is currently limited to Vietnamese-language mathematics (probability/combinatorics) and evaluation with open-source models (Qwen-2.5-7B, Phi-3-mini) under resource-constrained settings.</w:t>
      </w:r>
    </w:p>
    <w:p>
      <w:pPr>
        <w:pStyle w:val="Heading2"/>
        <w:spacing w:after="80" w:before="200"/>
      </w:pPr>
      <w:r>
        <w:rPr>
          <w:rFonts w:ascii="Arial" w:cs="Arial" w:eastAsia="Arial" w:hAnsi="Arial"/>
          <w:b/>
          <w:bCs/>
          <w:color w:val="1F3864"/>
          <w:sz w:val="21"/>
          <w:szCs w:val="21"/>
        </w:rPr>
        <w:t xml:space="preserve">7.3 Ethical Considerations</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GPS-Agent collects detailed interaction logs that could reveal sensitive information about student learning difficulties. Deployments must implement appropriate data privacy protections and obtain informed consent from students and guardians. The GUIDE teacher framework is designed to support rather than surveil: EWS alerts are actionable pedagogical signals, not performance evaluations of students.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8. FUTURE WORK</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 xml:space="preserve">We identify four high-priority research directions:</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Multimodal Scaffolding: Integrating vision-language models to analyze handwritten student work, enabling GPS-Agent to provide feedback on the student's physical problem-solving process rather than text descriptions alone.</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Affective Computing Integration: Deploying NLP-based sentiment and frustration detection to modulate the tone and scaffolding density of [G] and [P] agents in real time, addressing affective barriers to learning.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ML-Driven Adaptive Fading: Replacing the threshold-based scaffolding fade mechanism and the current heuristic Anti-Stagnation rule with a learned model trained on longitudinal learning trajectories, enabling personalized scaffolding removal timing and evidence-based stagnation detection beyond simple consecutive-node counting.</w:t>
      </w:r>
    </w:p>
    <w:p>
      <w:pPr>
        <w:pStyle w:val="ListParagraph"/>
        <w:numPr>
          <w:ilvl w:val="0"/>
          <w:numId w:val="2"/>
        </w:numPr>
        <w:spacing w:after="60" w:before="40" w:line="276"/>
        <w:ind w:left="720" w:hanging="360"/>
      </w:pPr>
      <w:r>
        <w:rPr>
          <w:rFonts w:ascii="Times New Roman" w:cs="Times New Roman" w:eastAsia="Times New Roman" w:hAnsi="Times New Roman"/>
          <w:b w:val="false"/>
          <w:bCs w:val="false"/>
          <w:i w:val="false"/>
          <w:iCs w:val="false"/>
          <w:smallCaps w:val="false"/>
          <w:color w:val="000000"/>
          <w:sz w:val="20"/>
          <w:szCs w:val="20"/>
        </w:rPr>
        <w:t xml:space="preserve">Cross-Domain Generalization: Extending GPS-Agent to Physics, Chemistry, and Computer Science problem domains, evaluating whether the GPS protocol generalizes across subjects with different problem structures.</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9. CONCLUSION</w:t>
      </w:r>
    </w:p>
    <w:p>
      <w:pPr>
        <w:spacing w:after="120" w:before="0" w:line="276"/>
        <w:jc w:val="both"/>
      </w:pPr>
      <w:r>
        <w:rPr>
          <w:rFonts w:ascii="Times New Roman" w:cs="Times New Roman" w:eastAsia="Times New Roman" w:hAnsi="Times New Roman"/>
          <w:b w:val="false"/>
          <w:bCs w:val="false"/>
          <w:i w:val="false"/>
          <w:iCs w:val="false"/>
          <w:smallCaps w:val="false"/>
          <w:color w:val="000000"/>
          <w:sz w:val="20"/>
          <w:szCs w:val="20"/>
        </w:rPr>
        <w:t>We presented GPS-Agent, a multi-agent framework that addresses the Answer-Giving Trap in LLM-based tutoring by enforcing a structured three-phase pedagogical protocol (Guide → Practice → Solve) through stateful graph-based orchestration with adaptive Anti-Stagnation routing. Our pilot evaluation across 249 annotated dialogue sessions demonstrates that GPS-Agent produces a statistically significant improvement in learner autonomy as measured by the Verifiable Autonomy Index (VAI GPS=0.241 vs. Baseline=0.124; d=0.571, p&lt;0.001), a 95.15% relative improvement over a single-agent baseline. Cross-model validation with Phi-3-mini as the student simulator confirms that this improvement is not an artifact of model-specific training, achieving VAI=0.190 (53.4% above baseline). Our cross-model IRR study (κ=0.68, Substantial) validates the construct reliability of the VAI metric. Failure analysis reveals that SCAFFOLDING_PRESSURE (52.5% of failure cases) is the primary limitation of the current architecture, motivating the Anti-Stagnation enhancement introduced in this work.</w:t>
      </w:r>
    </w:p>
    <w:p>
      <w:pPr>
        <w:spacing w:after="40" w:before="0" w:line="276"/>
        <w:jc w:val="both"/>
      </w:pPr>
      <w:r>
        <w:t xml:space="preserve"/>
      </w:r>
    </w:p>
    <w:p>
      <w:pPr>
        <w:pStyle w:val="Heading1"/>
        <w:pBdr>
          <w:bottom w:val="single" w:color="2E75B6" w:sz="6" w:space="2"/>
        </w:pBdr>
        <w:spacing w:after="100" w:before="280"/>
      </w:pPr>
      <w:r>
        <w:rPr>
          <w:rFonts w:ascii="Arial" w:cs="Arial" w:eastAsia="Arial" w:hAnsi="Arial"/>
          <w:b/>
          <w:bCs/>
          <w:color w:val="1F3864"/>
          <w:sz w:val="24"/>
          <w:szCs w:val="24"/>
        </w:rPr>
        <w:t xml:space="preserve">REFERENCES</w:t>
      </w:r>
    </w:p>
    <w:p>
      <w:pPr>
        <w:spacing w:after="60" w:before="60" w:line="260"/>
        <w:ind w:left="480" w:hanging="480"/>
      </w:pPr>
      <w:r>
        <w:rPr>
          <w:rFonts w:ascii="Times New Roman" w:cs="Times New Roman" w:eastAsia="Times New Roman" w:hAnsi="Times New Roman"/>
          <w:color w:val="000000"/>
          <w:sz w:val="18"/>
          <w:szCs w:val="18"/>
        </w:rPr>
        <w:t xml:space="preserve">Bloom, B. S. (1956). Taxonomy of Educational Objectives: The Classification of Educational Goals. David McKay Company.</w:t>
      </w:r>
    </w:p>
    <w:p>
      <w:pPr>
        <w:spacing w:after="60" w:before="60" w:line="260"/>
        <w:ind w:left="480" w:hanging="480"/>
      </w:pPr>
      <w:r>
        <w:rPr>
          <w:rFonts w:ascii="Times New Roman" w:cs="Times New Roman" w:eastAsia="Times New Roman" w:hAnsi="Times New Roman"/>
          <w:color w:val="000000"/>
          <w:sz w:val="18"/>
          <w:szCs w:val="18"/>
        </w:rPr>
        <w:t xml:space="preserve">Cohen, J. (1988). Statistical Power Analysis for the Behavioral Sciences (2nd ed.). Lawrence Erlbaum Associates.</w:t>
      </w:r>
    </w:p>
    <w:p>
      <w:pPr>
        <w:spacing w:after="60" w:before="60" w:line="260"/>
        <w:ind w:left="480" w:hanging="480"/>
      </w:pPr>
      <w:r>
        <w:rPr>
          <w:rFonts w:ascii="Times New Roman" w:cs="Times New Roman" w:eastAsia="Times New Roman" w:hAnsi="Times New Roman"/>
          <w:color w:val="000000"/>
          <w:sz w:val="18"/>
          <w:szCs w:val="18"/>
        </w:rPr>
        <w:t xml:space="preserve">Hake, R. R. (1998). Interactive-engagement versus traditional methods: A six-thousand-student survey of mechanics test data for introductory physics courses. American Journal of Physics, 66(1), 64–74.</w:t>
      </w:r>
    </w:p>
    <w:p>
      <w:pPr>
        <w:spacing w:after="60" w:before="60" w:line="260"/>
        <w:ind w:left="480" w:hanging="480"/>
      </w:pPr>
      <w:r>
        <w:rPr>
          <w:rFonts w:ascii="Times New Roman" w:cs="Times New Roman" w:eastAsia="Times New Roman" w:hAnsi="Times New Roman"/>
          <w:color w:val="000000"/>
          <w:sz w:val="18"/>
          <w:szCs w:val="18"/>
        </w:rPr>
        <w:t xml:space="preserve">Hattie, J. (2009). Visible Learning: A Synthesis of Over 800 Meta-Analyses Relating to Achievement. Routledge.</w:t>
      </w:r>
    </w:p>
    <w:p>
      <w:pPr>
        <w:spacing w:after="60" w:before="60" w:line="260"/>
        <w:ind w:left="480" w:hanging="480"/>
      </w:pPr>
      <w:r>
        <w:rPr>
          <w:rFonts w:ascii="Times New Roman" w:cs="Times New Roman" w:eastAsia="Times New Roman" w:hAnsi="Times New Roman"/>
          <w:color w:val="000000"/>
          <w:sz w:val="18"/>
          <w:szCs w:val="18"/>
        </w:rPr>
        <w:t xml:space="preserve">Koedinger, K. R., &amp; Corbett, A. T. (2006). Cognitive tutors: Technology bringing learning science to the classroom. In R. K. Sawyer (Ed.), The Cambridge Handbook of the Learning Sciences (pp. 61–78). Cambridge University Press.</w:t>
      </w:r>
    </w:p>
    <w:p>
      <w:pPr>
        <w:spacing w:after="60" w:before="60" w:line="260"/>
        <w:ind w:left="480" w:hanging="480"/>
      </w:pPr>
      <w:r>
        <w:rPr>
          <w:rFonts w:ascii="Times New Roman" w:cs="Times New Roman" w:eastAsia="Times New Roman" w:hAnsi="Times New Roman"/>
          <w:color w:val="000000"/>
          <w:sz w:val="18"/>
          <w:szCs w:val="18"/>
        </w:rPr>
        <w:t xml:space="preserve">Macina, J., Daheim, N., Srivastava, S., Mondorf, P., Markert, K., Sachan, M., &amp; Lapata, M. (2023). Mathdial: A dialogue tutoring dataset with rich pedagogical properties grounded in math reasoning problems. In Findings of EMNLP 2023.</w:t>
      </w:r>
    </w:p>
    <w:p>
      <w:pPr>
        <w:spacing w:after="60" w:before="60" w:line="260"/>
        <w:ind w:left="480" w:hanging="480"/>
      </w:pPr>
      <w:r>
        <w:rPr>
          <w:rFonts w:ascii="Times New Roman" w:cs="Times New Roman" w:eastAsia="Times New Roman" w:hAnsi="Times New Roman"/>
          <w:color w:val="000000"/>
          <w:sz w:val="18"/>
          <w:szCs w:val="18"/>
        </w:rPr>
        <w:t xml:space="preserve">Mitrovic, A. (2012). Fifteen years of constraint-based tutors: What we have achieved and where we are going. User Modeling and User-Adapted Interaction, 22(1), 39–72.</w:t>
      </w:r>
    </w:p>
    <w:p>
      <w:pPr>
        <w:spacing w:after="60" w:before="60" w:line="260"/>
        <w:ind w:left="480" w:hanging="480"/>
      </w:pPr>
      <w:r>
        <w:rPr>
          <w:rFonts w:ascii="Times New Roman" w:cs="Times New Roman" w:eastAsia="Times New Roman" w:hAnsi="Times New Roman"/>
          <w:color w:val="000000"/>
          <w:sz w:val="18"/>
          <w:szCs w:val="18"/>
        </w:rPr>
        <w:t xml:space="preserve">OpenAI. (2024). GPT-4 Technical Report. arXiv preprint arXiv:2303.08774.</w:t>
      </w:r>
    </w:p>
    <w:p>
      <w:pPr>
        <w:spacing w:after="60" w:before="60" w:line="260"/>
        <w:ind w:left="480" w:hanging="480"/>
      </w:pPr>
      <w:r>
        <w:rPr>
          <w:rFonts w:ascii="Times New Roman" w:cs="Times New Roman" w:eastAsia="Times New Roman" w:hAnsi="Times New Roman"/>
          <w:color w:val="000000"/>
          <w:sz w:val="18"/>
          <w:szCs w:val="18"/>
        </w:rPr>
        <w:t xml:space="preserve">Ryan, R. M., &amp; Deci, E. L. (2000). Self-determination theory and the facilitation of intrinsic motivation, social development, and well-being. American Psychologist, 55(1), 68–78.</w:t>
      </w:r>
    </w:p>
    <w:p>
      <w:pPr>
        <w:spacing w:after="60" w:before="60" w:line="260"/>
        <w:ind w:left="480" w:hanging="480"/>
      </w:pPr>
      <w:r>
        <w:rPr>
          <w:rFonts w:ascii="Times New Roman" w:cs="Times New Roman" w:eastAsia="Times New Roman" w:hAnsi="Times New Roman"/>
          <w:color w:val="000000"/>
          <w:sz w:val="18"/>
          <w:szCs w:val="18"/>
        </w:rPr>
        <w:t xml:space="preserve">Tack, A., &amp; Piech, C. (2022). The AI teacher test: Measuring the pedagogical ability of blender and GPT-3 in educational dialogues. In Proceedings of the 15th International Conference on Educational Data Mining.</w:t>
      </w:r>
    </w:p>
    <w:p>
      <w:pPr>
        <w:spacing w:after="60" w:before="60" w:line="260"/>
        <w:ind w:left="480" w:hanging="480"/>
      </w:pPr>
      <w:r>
        <w:rPr>
          <w:rFonts w:ascii="Times New Roman" w:cs="Times New Roman" w:eastAsia="Times New Roman" w:hAnsi="Times New Roman"/>
          <w:color w:val="000000"/>
          <w:sz w:val="18"/>
          <w:szCs w:val="18"/>
        </w:rPr>
        <w:t xml:space="preserve">VanLehn, K. (2011). The relative effectiveness of human tutoring, intelligent tutoring systems, and other tutoring systems. Educational Psychologist, 46(4), 197–221.</w:t>
      </w:r>
    </w:p>
    <w:p>
      <w:pPr>
        <w:spacing w:after="60" w:before="60" w:line="260"/>
        <w:ind w:left="480" w:hanging="480"/>
      </w:pPr>
      <w:r>
        <w:rPr>
          <w:rFonts w:ascii="Times New Roman" w:cs="Times New Roman" w:eastAsia="Times New Roman" w:hAnsi="Times New Roman"/>
          <w:color w:val="000000"/>
          <w:sz w:val="18"/>
          <w:szCs w:val="18"/>
        </w:rPr>
        <w:t xml:space="preserve">Vygotsky, L. S. (1978). Mind in Society: The Development of Higher Psychological Processes. Harvard University Press.</w:t>
      </w:r>
    </w:p>
    <w:p>
      <w:pPr>
        <w:spacing w:after="60" w:before="60" w:line="260"/>
        <w:ind w:left="480" w:hanging="480"/>
      </w:pPr>
      <w:r>
        <w:rPr>
          <w:rFonts w:ascii="Times New Roman" w:cs="Times New Roman" w:eastAsia="Times New Roman" w:hAnsi="Times New Roman"/>
          <w:color w:val="000000"/>
          <w:sz w:val="18"/>
          <w:szCs w:val="18"/>
        </w:rPr>
        <w:t xml:space="preserve">Wood, D., Bruner, J. S., &amp; Ross, G. (1976). The role of tutoring in problem solving. Journal of Child Psychology and Psychiatry, 17(2), 89–100.</w:t>
      </w:r>
    </w:p>
    <w:p>
      <w:pPr>
        <w:spacing w:after="60" w:before="60" w:line="260"/>
        <w:ind w:left="480" w:hanging="480"/>
      </w:pPr>
      <w:r>
        <w:rPr>
          <w:rFonts w:ascii="Times New Roman" w:cs="Times New Roman" w:eastAsia="Times New Roman" w:hAnsi="Times New Roman"/>
          <w:color w:val="000000"/>
          <w:sz w:val="18"/>
          <w:szCs w:val="18"/>
        </w:rPr>
        <w:t xml:space="preserve">Wu, Q., Bansal, G., Zhang, J., Wu, Y., Li, B., Zhu, E., ... &amp; Wang, C. (2023). AutoGen: Enabling next-gen LLM applications via multi-agent conversation. arXiv preprint arXiv:2308.08155.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jc w:val="right"/>
    </w:pPr>
    <w:r>
      <w:rPr>
        <w:rFonts w:ascii="Arial" w:cs="Arial" w:eastAsia="Arial" w:hAnsi="Arial"/>
        <w:color w:val="595959"/>
        <w:sz w:val="16"/>
        <w:szCs w:val="16"/>
      </w:rPr>
      <w:t xml:space="preserve">GPS-Agent: Multi-Agent Scaffolding for AI Tutoring  |  EMNLP 2026 (Under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1F3864"/>
      <w:sz w:val="24"/>
      <w:szCs w:val="24"/>
    </w:rPr>
  </w:style>
  <w:style w:type="paragraph" w:styleId="Heading2">
    <w:name w:val="Heading 2"/>
    <w:basedOn w:val="Normal"/>
    <w:next w:val="Normal"/>
    <w:qFormat/>
    <w:pPr>
      <w:spacing w:after="80" w:before="200"/>
      <w:outlineLvl w:val="1"/>
    </w:pPr>
    <w:rPr>
      <w:rFonts w:ascii="Arial" w:cs="Arial" w:eastAsia="Arial" w:hAnsi="Arial"/>
      <w:b/>
      <w:bCs/>
      <w:color w:val="1F3864"/>
      <w:sz w:val="22"/>
      <w:szCs w:val="22"/>
    </w:rPr>
  </w:style>
  <w:style w:type="paragraph" w:styleId="Heading3">
    <w:name w:val="Heading 3"/>
    <w:basedOn w:val="Normal"/>
    <w:next w:val="Normal"/>
    <w:qFormat/>
    <w:pPr>
      <w:spacing w:after="60" w:before="160"/>
      <w:outlineLvl w:val="2"/>
    </w:pPr>
    <w:rPr>
      <w:rFonts w:ascii="Arial" w:cs="Arial" w:eastAsia="Arial" w:hAnsi="Arial"/>
      <w:b/>
      <w:bCs/>
      <w:color w:val="2E75B6"/>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2026-05-07T08:24:30.323Z</dcterms:created>
  <dcterms:modified xsi:type="dcterms:W3CDTF">2026-05-07T08:24:30.323Z</dcterms:modified>
</cp:coreProperties>
</file>

<file path=docProps/custom.xml><?xml version="1.0" encoding="utf-8"?>
<Properties xmlns="http://schemas.openxmlformats.org/officeDocument/2006/custom-properties" xmlns:vt="http://schemas.openxmlformats.org/officeDocument/2006/docPropsVTypes"/>
</file>